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7CE8F" w14:textId="6EF502F3" w:rsidR="003B024F" w:rsidRPr="009E60B6" w:rsidRDefault="00D95284" w:rsidP="009E60B6">
      <w:pPr>
        <w:spacing w:after="0"/>
        <w:rPr>
          <w:bCs/>
        </w:rPr>
      </w:pPr>
      <w:r w:rsidRPr="00830851">
        <w:rPr>
          <w:highlight w:val="yellow"/>
        </w:rPr>
        <w:t>Vastineen antajan nimi</w:t>
      </w:r>
      <w:r>
        <w:tab/>
      </w:r>
      <w:r>
        <w:tab/>
      </w:r>
      <w:r>
        <w:tab/>
        <w:t>VASTASELITYS</w:t>
      </w:r>
      <w:r w:rsidR="007F2F6E">
        <w:tab/>
      </w:r>
      <w:r w:rsidR="007F2F6E">
        <w:tab/>
      </w:r>
      <w:r w:rsidR="007F2F6E">
        <w:rPr>
          <w:bCs/>
        </w:rPr>
        <w:t>1</w:t>
      </w:r>
      <w:r w:rsidRPr="009E60B6">
        <w:t>(</w:t>
      </w:r>
      <w:r w:rsidR="0064009E">
        <w:rPr>
          <w:bCs/>
        </w:rPr>
        <w:t>7</w:t>
      </w:r>
      <w:r w:rsidRPr="009E60B6">
        <w:rPr>
          <w:bCs/>
        </w:rPr>
        <w:t>)</w:t>
      </w:r>
    </w:p>
    <w:p w14:paraId="2FFBFA20" w14:textId="77777777" w:rsidR="00D95284" w:rsidRPr="00830851" w:rsidRDefault="00D95284" w:rsidP="009E60B6">
      <w:pPr>
        <w:spacing w:after="0"/>
        <w:rPr>
          <w:highlight w:val="yellow"/>
        </w:rPr>
      </w:pPr>
      <w:r w:rsidRPr="00830851">
        <w:rPr>
          <w:highlight w:val="yellow"/>
        </w:rPr>
        <w:t>Katuosoite</w:t>
      </w:r>
    </w:p>
    <w:p w14:paraId="70B75D9C" w14:textId="77777777" w:rsidR="00D95284" w:rsidRDefault="00D95284" w:rsidP="009E60B6">
      <w:pPr>
        <w:spacing w:after="0"/>
      </w:pPr>
      <w:r w:rsidRPr="00830851">
        <w:rPr>
          <w:highlight w:val="yellow"/>
        </w:rPr>
        <w:t>Postinumero ja postitoimipaikka</w:t>
      </w:r>
    </w:p>
    <w:p w14:paraId="458F2E85" w14:textId="586CA639" w:rsidR="00D95284" w:rsidRDefault="00D95284" w:rsidP="009E60B6">
      <w:pPr>
        <w:spacing w:after="0"/>
      </w:pPr>
      <w:r w:rsidRPr="00830851">
        <w:rPr>
          <w:highlight w:val="yellow"/>
        </w:rPr>
        <w:t>Sähköposti</w:t>
      </w:r>
      <w:r>
        <w:tab/>
      </w:r>
      <w:r>
        <w:tab/>
      </w:r>
      <w:r>
        <w:tab/>
      </w:r>
      <w:r>
        <w:tab/>
      </w:r>
      <w:r>
        <w:fldChar w:fldCharType="begin"/>
      </w:r>
      <w:r>
        <w:instrText xml:space="preserve"> TIME \@ "d.M.yyyy" </w:instrText>
      </w:r>
      <w:r>
        <w:fldChar w:fldCharType="separate"/>
      </w:r>
      <w:r w:rsidR="00EA36B9">
        <w:rPr>
          <w:noProof/>
        </w:rPr>
        <w:t>12.12.2023</w:t>
      </w:r>
      <w:r>
        <w:fldChar w:fldCharType="end"/>
      </w:r>
    </w:p>
    <w:p w14:paraId="20F8801B" w14:textId="77777777" w:rsidR="00D95284" w:rsidRDefault="00D95284" w:rsidP="009E60B6">
      <w:pPr>
        <w:spacing w:after="0"/>
      </w:pPr>
    </w:p>
    <w:p w14:paraId="785752D6" w14:textId="77777777" w:rsidR="00D95284" w:rsidRPr="00830851" w:rsidRDefault="00D95284" w:rsidP="009E60B6">
      <w:pPr>
        <w:spacing w:after="0"/>
        <w:rPr>
          <w:highlight w:val="yellow"/>
        </w:rPr>
      </w:pPr>
      <w:r w:rsidRPr="00830851">
        <w:rPr>
          <w:highlight w:val="yellow"/>
        </w:rPr>
        <w:t>Hallinto-oikeus</w:t>
      </w:r>
    </w:p>
    <w:p w14:paraId="4911E370" w14:textId="77777777" w:rsidR="00D95284" w:rsidRPr="00830851" w:rsidRDefault="00D95284" w:rsidP="009E60B6">
      <w:pPr>
        <w:spacing w:after="0"/>
        <w:rPr>
          <w:highlight w:val="yellow"/>
        </w:rPr>
      </w:pPr>
      <w:r w:rsidRPr="00830851">
        <w:rPr>
          <w:highlight w:val="yellow"/>
        </w:rPr>
        <w:t>Katuosoite</w:t>
      </w:r>
    </w:p>
    <w:p w14:paraId="4E4F17BA" w14:textId="77777777" w:rsidR="00D95284" w:rsidRPr="00830851" w:rsidRDefault="00D95284" w:rsidP="009E60B6">
      <w:pPr>
        <w:spacing w:after="0"/>
        <w:rPr>
          <w:highlight w:val="yellow"/>
        </w:rPr>
      </w:pPr>
      <w:r w:rsidRPr="00830851">
        <w:rPr>
          <w:highlight w:val="yellow"/>
        </w:rPr>
        <w:t>Postinumero ja postitoimipaikka</w:t>
      </w:r>
    </w:p>
    <w:p w14:paraId="4B4E24D1" w14:textId="77777777" w:rsidR="00D95284" w:rsidRPr="00830851" w:rsidRDefault="00D95284" w:rsidP="009E60B6">
      <w:pPr>
        <w:spacing w:after="0"/>
        <w:rPr>
          <w:highlight w:val="yellow"/>
        </w:rPr>
      </w:pPr>
      <w:r w:rsidRPr="00830851">
        <w:rPr>
          <w:highlight w:val="yellow"/>
        </w:rPr>
        <w:t>Sähköpostiosoite</w:t>
      </w:r>
    </w:p>
    <w:p w14:paraId="0FE7557F" w14:textId="77777777" w:rsidR="00D95284" w:rsidRPr="00830851" w:rsidRDefault="00D95284" w:rsidP="009E60B6">
      <w:pPr>
        <w:spacing w:after="0"/>
        <w:rPr>
          <w:highlight w:val="yellow"/>
        </w:rPr>
      </w:pPr>
    </w:p>
    <w:p w14:paraId="38C7AE5F" w14:textId="77777777" w:rsidR="00D95284" w:rsidRPr="00830851" w:rsidRDefault="00D95284" w:rsidP="009E60B6">
      <w:pPr>
        <w:spacing w:after="0"/>
        <w:rPr>
          <w:highlight w:val="yellow"/>
        </w:rPr>
      </w:pPr>
    </w:p>
    <w:p w14:paraId="5F79460E" w14:textId="77777777" w:rsidR="00D95284" w:rsidRDefault="00D95284" w:rsidP="009E60B6">
      <w:pPr>
        <w:spacing w:after="0"/>
      </w:pPr>
      <w:r w:rsidRPr="00830851">
        <w:rPr>
          <w:highlight w:val="yellow"/>
        </w:rPr>
        <w:t>Viite: Hallinto-oikeuden diaarinumero</w:t>
      </w:r>
    </w:p>
    <w:p w14:paraId="4A81753B" w14:textId="77777777" w:rsidR="00D95284" w:rsidRDefault="00D95284" w:rsidP="009E60B6">
      <w:pPr>
        <w:spacing w:after="0"/>
      </w:pPr>
    </w:p>
    <w:p w14:paraId="637B32B8" w14:textId="77777777" w:rsidR="00D95284" w:rsidRDefault="00D95284" w:rsidP="009E60B6">
      <w:pPr>
        <w:spacing w:after="0"/>
      </w:pPr>
    </w:p>
    <w:p w14:paraId="0855B854" w14:textId="77777777" w:rsidR="00D95284" w:rsidRDefault="00D95284" w:rsidP="009E60B6">
      <w:pPr>
        <w:spacing w:after="0"/>
      </w:pPr>
      <w:r>
        <w:t>VASTASELITYS VALITUKSEEN ILVEKSEN METSÄSTYSTÄ KOSKEVAAN VALITUKSEEN</w:t>
      </w:r>
    </w:p>
    <w:p w14:paraId="5B8D2F2D" w14:textId="77777777" w:rsidR="00C1661A" w:rsidRDefault="00C1661A" w:rsidP="009E60B6">
      <w:pPr>
        <w:spacing w:after="0"/>
      </w:pPr>
    </w:p>
    <w:p w14:paraId="5257C82F" w14:textId="77777777" w:rsidR="00D95284" w:rsidRDefault="00D95284">
      <w:r>
        <w:t>Vaatimukset asiassa</w:t>
      </w:r>
    </w:p>
    <w:p w14:paraId="0CA79010" w14:textId="77777777" w:rsidR="00D95284" w:rsidRDefault="00D95284" w:rsidP="00D95284">
      <w:pPr>
        <w:ind w:left="1304"/>
      </w:pPr>
      <w:r>
        <w:t>Täytäntöönpanokielto tulee välittömästi peruuttaa ja valittajan valitus tulee hylätä ja valittaja tulee tuomita maksamaan hakijan oikeudenkäyntikulut tässä asiassa laillisine korkoineen kuukausi hallinto-oikeuden ratkaisun antamisesta lukien.</w:t>
      </w:r>
    </w:p>
    <w:p w14:paraId="134E7940" w14:textId="77777777" w:rsidR="00C1661A" w:rsidRDefault="00C1661A" w:rsidP="00D95284">
      <w:pPr>
        <w:ind w:left="1304"/>
      </w:pPr>
    </w:p>
    <w:p w14:paraId="448E5202" w14:textId="77777777" w:rsidR="00D95284" w:rsidRDefault="00D95284" w:rsidP="00D95284">
      <w:r>
        <w:t>Perustelut vaatimukselle</w:t>
      </w:r>
    </w:p>
    <w:p w14:paraId="22ECF4B0" w14:textId="77777777" w:rsidR="00832553" w:rsidRDefault="00D95284" w:rsidP="00832553">
      <w:pPr>
        <w:ind w:left="1304"/>
      </w:pPr>
      <w:r>
        <w:t>Suomen riistakeskus on poikkeuslupapäätöstä tehdessään oikein soveltanut Suomen voimassa olevia lakeja ja asiaa koskevia kansainvälisiä sitoumuksia.</w:t>
      </w:r>
      <w:r w:rsidR="00832553">
        <w:t xml:space="preserve"> Suomen riistakeskuksen päätös täyttää </w:t>
      </w:r>
      <w:proofErr w:type="spellStart"/>
      <w:r w:rsidR="00832553">
        <w:t>kannanhoidollisen</w:t>
      </w:r>
      <w:proofErr w:type="spellEnd"/>
      <w:r w:rsidR="00832553">
        <w:t xml:space="preserve"> metsästyksen edellytykse</w:t>
      </w:r>
      <w:r w:rsidR="00A02820">
        <w:t>t</w:t>
      </w:r>
      <w:r w:rsidR="00832553">
        <w:t xml:space="preserve"> tavoitteen / tarkoituksen, muu</w:t>
      </w:r>
      <w:r w:rsidR="00A02820">
        <w:t>n</w:t>
      </w:r>
      <w:r w:rsidR="00832553">
        <w:t xml:space="preserve"> vaihtoehdon puutteen, valvonnan, valikoinnin ja lukumäärän osalta.</w:t>
      </w:r>
    </w:p>
    <w:p w14:paraId="01E346EB" w14:textId="50C91089" w:rsidR="00C2566B" w:rsidRDefault="00594366" w:rsidP="00C2566B">
      <w:pPr>
        <w:ind w:left="1304"/>
      </w:pPr>
      <w:r>
        <w:t xml:space="preserve">Valittaja vetoaa asiassa vääriin oikeuslähteisiin ja </w:t>
      </w:r>
      <w:r w:rsidR="00965636">
        <w:t>tulkintaperiaatteisiin</w:t>
      </w:r>
      <w:r w:rsidR="00BB5051">
        <w:t xml:space="preserve"> ja esittää </w:t>
      </w:r>
      <w:proofErr w:type="spellStart"/>
      <w:r w:rsidR="00BB5051">
        <w:t>virheelistä</w:t>
      </w:r>
      <w:proofErr w:type="spellEnd"/>
      <w:r w:rsidR="00BB5051">
        <w:t xml:space="preserve"> tietoa asiaan liittyvistä tosiseikoista</w:t>
      </w:r>
      <w:r w:rsidR="00965636">
        <w:t>.</w:t>
      </w:r>
      <w:r w:rsidR="007679AC">
        <w:t xml:space="preserve"> </w:t>
      </w:r>
      <w:proofErr w:type="spellStart"/>
      <w:r w:rsidR="00E240D8" w:rsidRPr="00E240D8">
        <w:rPr>
          <w:lang w:val="en-US"/>
        </w:rPr>
        <w:t>Tarkoitus</w:t>
      </w:r>
      <w:proofErr w:type="spellEnd"/>
      <w:r w:rsidR="00E240D8" w:rsidRPr="00E240D8">
        <w:rPr>
          <w:lang w:val="en-US"/>
        </w:rPr>
        <w:t xml:space="preserve"> / </w:t>
      </w:r>
      <w:proofErr w:type="spellStart"/>
      <w:r w:rsidR="00E240D8" w:rsidRPr="00E240D8">
        <w:rPr>
          <w:lang w:val="en-US"/>
        </w:rPr>
        <w:t>tavoite</w:t>
      </w:r>
      <w:proofErr w:type="spellEnd"/>
      <w:r w:rsidR="00E240D8" w:rsidRPr="00E240D8">
        <w:rPr>
          <w:lang w:val="en-US"/>
        </w:rPr>
        <w:t xml:space="preserve"> </w:t>
      </w:r>
      <w:proofErr w:type="spellStart"/>
      <w:r w:rsidR="00E240D8" w:rsidRPr="00E240D8">
        <w:rPr>
          <w:lang w:val="en-US"/>
        </w:rPr>
        <w:t>vastaa</w:t>
      </w:r>
      <w:proofErr w:type="spellEnd"/>
      <w:r w:rsidR="00E240D8" w:rsidRPr="00E240D8">
        <w:rPr>
          <w:lang w:val="en-US"/>
        </w:rPr>
        <w:t xml:space="preserve"> </w:t>
      </w:r>
      <w:proofErr w:type="spellStart"/>
      <w:r w:rsidR="00E240D8" w:rsidRPr="00E240D8">
        <w:rPr>
          <w:lang w:val="en-US"/>
        </w:rPr>
        <w:t>suositu</w:t>
      </w:r>
      <w:r w:rsidR="00E240D8">
        <w:rPr>
          <w:lang w:val="en-US"/>
        </w:rPr>
        <w:t>sta</w:t>
      </w:r>
      <w:proofErr w:type="spellEnd"/>
      <w:r w:rsidR="00E240D8" w:rsidRPr="00E240D8">
        <w:rPr>
          <w:lang w:val="en-US"/>
        </w:rPr>
        <w:t xml:space="preserve"> </w:t>
      </w:r>
      <w:proofErr w:type="gramStart"/>
      <w:r w:rsidR="007679AC" w:rsidRPr="00E240D8">
        <w:rPr>
          <w:lang w:val="en-US"/>
        </w:rPr>
        <w:t>Rec(</w:t>
      </w:r>
      <w:proofErr w:type="gramEnd"/>
      <w:r w:rsidR="007679AC" w:rsidRPr="00E240D8">
        <w:rPr>
          <w:lang w:val="en-US"/>
        </w:rPr>
        <w:t>2008)137</w:t>
      </w:r>
      <w:r w:rsidR="00E240D8" w:rsidRPr="00E240D8">
        <w:rPr>
          <w:lang w:val="en-US"/>
        </w:rPr>
        <w:t xml:space="preserve"> -- </w:t>
      </w:r>
      <w:r w:rsidR="007679AC" w:rsidRPr="00E240D8">
        <w:rPr>
          <w:lang w:val="en-US"/>
        </w:rPr>
        <w:t>Recommendation No. 137 (2008) of the Standing Committee, adopted on 27 November 2008, on population level management of large carnivore populations</w:t>
      </w:r>
      <w:r w:rsidR="00E240D8" w:rsidRPr="00E240D8">
        <w:rPr>
          <w:lang w:val="en-US"/>
        </w:rPr>
        <w:t xml:space="preserve"> ja Large Carnivore Initiative for Europe: Guidelines for Population Level Management Plans for Large Carnivores 1.7.2008. </w:t>
      </w:r>
      <w:r w:rsidR="00E240D8" w:rsidRPr="00E240D8">
        <w:t>Mu</w:t>
      </w:r>
      <w:r w:rsidR="00E240D8">
        <w:t>uta vaihtoehtoa ei ole kannan säätelemiseksi</w:t>
      </w:r>
      <w:r w:rsidR="00AF6EAA">
        <w:t xml:space="preserve"> kuin metsästys</w:t>
      </w:r>
      <w:r w:rsidR="00E240D8">
        <w:t>.</w:t>
      </w:r>
      <w:r w:rsidR="00BC1774" w:rsidRPr="00E240D8">
        <w:t xml:space="preserve"> </w:t>
      </w:r>
      <w:r w:rsidR="00BC1774">
        <w:t xml:space="preserve">Valikointi tarkoittaa valikoivia </w:t>
      </w:r>
      <w:proofErr w:type="spellStart"/>
      <w:r w:rsidR="00BC1774">
        <w:t>pyyntikeinoja</w:t>
      </w:r>
      <w:proofErr w:type="spellEnd"/>
      <w:r w:rsidR="00BC1774">
        <w:t xml:space="preserve"> ja ilveksen metsästyksessä ei muita käytetäkään. </w:t>
      </w:r>
      <w:r w:rsidR="00E240D8">
        <w:t xml:space="preserve">Ilves on suotuisan suojelun tasolla ja </w:t>
      </w:r>
      <w:r w:rsidR="00CF7F33">
        <w:t xml:space="preserve">myönnetty </w:t>
      </w:r>
      <w:r w:rsidR="00E240D8">
        <w:t>p</w:t>
      </w:r>
      <w:r w:rsidR="005061E8">
        <w:t>oikkeus</w:t>
      </w:r>
      <w:r w:rsidR="00BC1774">
        <w:t xml:space="preserve">lupamäärä on rajallinen </w:t>
      </w:r>
      <w:r w:rsidR="00AE2726">
        <w:t xml:space="preserve">ja </w:t>
      </w:r>
      <w:r w:rsidR="007F553D">
        <w:t>kaikkia p</w:t>
      </w:r>
      <w:r w:rsidR="005061E8">
        <w:t>oikkeus</w:t>
      </w:r>
      <w:r w:rsidR="007F553D">
        <w:t>lupia ei ehkä käytetä, joten</w:t>
      </w:r>
      <w:r w:rsidR="00CF7F33">
        <w:t xml:space="preserve"> Suomen </w:t>
      </w:r>
      <w:proofErr w:type="spellStart"/>
      <w:r w:rsidR="00CF7F33">
        <w:t>ilveskanta</w:t>
      </w:r>
      <w:proofErr w:type="spellEnd"/>
      <w:r w:rsidR="007F553D">
        <w:t xml:space="preserve"> pysyy </w:t>
      </w:r>
      <w:r w:rsidR="00CF7F33">
        <w:t xml:space="preserve">metsästyksestä huolimatta vakaana ja </w:t>
      </w:r>
      <w:r w:rsidR="007F553D">
        <w:t>kasvusuunnassa.</w:t>
      </w:r>
      <w:r w:rsidR="007F553D">
        <w:rPr>
          <w:rStyle w:val="Alaviitteenviite"/>
        </w:rPr>
        <w:footnoteReference w:id="1"/>
      </w:r>
      <w:r w:rsidR="007F553D">
        <w:t xml:space="preserve"> Suomen riistakeskus on tehnyt päätöksensä varovaisuusperiaatteen muk</w:t>
      </w:r>
      <w:r w:rsidR="00E97E30">
        <w:t>aan</w:t>
      </w:r>
      <w:r w:rsidR="008D246F">
        <w:t xml:space="preserve"> eikä ole käyttänyt asetuksen mahdollistamaa maksimi</w:t>
      </w:r>
      <w:r w:rsidR="00AF6EAA">
        <w:t>lupa</w:t>
      </w:r>
      <w:r w:rsidR="008D246F">
        <w:t>määrää</w:t>
      </w:r>
      <w:r w:rsidR="007F553D">
        <w:t>.</w:t>
      </w:r>
      <w:r w:rsidR="007679AC">
        <w:t xml:space="preserve"> </w:t>
      </w:r>
    </w:p>
    <w:p w14:paraId="31C83BB6" w14:textId="6D143CC6" w:rsidR="00CB2B44" w:rsidRDefault="000B7255" w:rsidP="00D95284">
      <w:pPr>
        <w:ind w:left="1304"/>
      </w:pPr>
      <w:r>
        <w:t xml:space="preserve">Sovellettavat säännökset asiassa ovat metsästyslain (1993/615) 41a.3 § ja </w:t>
      </w:r>
      <w:r w:rsidR="00CB2B44">
        <w:t>a</w:t>
      </w:r>
      <w:r w:rsidR="00CB2B44" w:rsidRPr="00CB2B44">
        <w:t xml:space="preserve">setus Euroopan luonnonvaraisen kasviston ja eläimistön sekä niiden elinympäristön </w:t>
      </w:r>
      <w:r w:rsidR="00CB2B44" w:rsidRPr="00CB2B44">
        <w:lastRenderedPageBreak/>
        <w:t>suojelusta tehdyn yleissopimuksen voimaansaattamisesta</w:t>
      </w:r>
      <w:r w:rsidR="00D95284">
        <w:t xml:space="preserve"> </w:t>
      </w:r>
      <w:r w:rsidR="00CB2B44">
        <w:t>(</w:t>
      </w:r>
      <w:r w:rsidR="00CB2B44" w:rsidRPr="00CB2B44">
        <w:t>1986/228</w:t>
      </w:r>
      <w:r w:rsidR="00CB2B44">
        <w:t xml:space="preserve">), jolla on asetuksen tasoisena </w:t>
      </w:r>
      <w:r w:rsidR="00517856">
        <w:t xml:space="preserve">saatettu </w:t>
      </w:r>
      <w:r w:rsidR="00CB2B44">
        <w:t xml:space="preserve">voimaan </w:t>
      </w:r>
      <w:r w:rsidR="00CB2B44" w:rsidRPr="00CB2B44">
        <w:t>yleissopimus Euroopan luonnonvaraisen kasviston ja eläimistön sekä niiden elinympäristön suojelusta</w:t>
      </w:r>
      <w:r w:rsidR="00CB2B44">
        <w:t xml:space="preserve"> (</w:t>
      </w:r>
      <w:proofErr w:type="spellStart"/>
      <w:r w:rsidR="00CB2B44">
        <w:t>SopS</w:t>
      </w:r>
      <w:proofErr w:type="spellEnd"/>
      <w:r w:rsidR="00CB2B44">
        <w:t xml:space="preserve"> 1986/29) – jatkossa Bernin sopimus.</w:t>
      </w:r>
    </w:p>
    <w:p w14:paraId="69A77195" w14:textId="77777777" w:rsidR="00D95256" w:rsidRDefault="00CB2B44" w:rsidP="00D95256">
      <w:pPr>
        <w:ind w:left="1304"/>
      </w:pPr>
      <w:r>
        <w:t>Euroopan unionin luontodirektiivi</w:t>
      </w:r>
      <w:r w:rsidR="00484398">
        <w:t xml:space="preserve"> (92/43/ETY) on mainitun Bernin sopimuksen </w:t>
      </w:r>
      <w:proofErr w:type="spellStart"/>
      <w:r w:rsidR="00484398">
        <w:t>täytäntöönpanoasiakirja</w:t>
      </w:r>
      <w:proofErr w:type="spellEnd"/>
      <w:r w:rsidR="00484398">
        <w:t xml:space="preserve"> Euroopan unionissa. </w:t>
      </w:r>
      <w:r w:rsidR="00965636">
        <w:t xml:space="preserve">Direktiivejä ei suoraan sovelleta osana jäsenvaltion oikeusjärjestystä. </w:t>
      </w:r>
      <w:r w:rsidR="00132CA1">
        <w:t xml:space="preserve">Luontodirektiivin luonne Bernin sopimuksen </w:t>
      </w:r>
      <w:proofErr w:type="spellStart"/>
      <w:r w:rsidR="00132CA1">
        <w:t>täytäntöönpanoasiakirjana</w:t>
      </w:r>
      <w:proofErr w:type="spellEnd"/>
      <w:r w:rsidR="00132CA1">
        <w:t xml:space="preserve"> käy ilmi </w:t>
      </w:r>
      <w:r w:rsidR="00D95256">
        <w:t xml:space="preserve">Euroopan neuvoston Bernin sopimusta koskevista asiakirjoista ja </w:t>
      </w:r>
      <w:r w:rsidR="00132CA1">
        <w:t xml:space="preserve">luontodirektiivin valmistelutöistä. </w:t>
      </w:r>
      <w:r w:rsidR="00D95256" w:rsidRPr="00D95256">
        <w:t xml:space="preserve">Esimerkiksi </w:t>
      </w:r>
      <w:r w:rsidR="00132CA1" w:rsidRPr="00D95256">
        <w:t>Euroopan unionin talous ja sosiaalikomitea nimenomaan totesi luontodirektiiviä säädettäessä, että “</w:t>
      </w:r>
      <w:proofErr w:type="spellStart"/>
      <w:r w:rsidR="00132CA1" w:rsidRPr="00D95256">
        <w:t>the</w:t>
      </w:r>
      <w:proofErr w:type="spellEnd"/>
      <w:r w:rsidR="00132CA1" w:rsidRPr="00D95256">
        <w:t xml:space="preserve"> </w:t>
      </w:r>
      <w:proofErr w:type="spellStart"/>
      <w:r w:rsidR="00132CA1" w:rsidRPr="00D95256">
        <w:t>effect</w:t>
      </w:r>
      <w:proofErr w:type="spellEnd"/>
      <w:r w:rsidR="00132CA1" w:rsidRPr="00D95256">
        <w:t xml:space="preserve"> </w:t>
      </w:r>
      <w:proofErr w:type="spellStart"/>
      <w:r w:rsidR="00132CA1" w:rsidRPr="00D95256">
        <w:t>would</w:t>
      </w:r>
      <w:proofErr w:type="spellEnd"/>
      <w:r w:rsidR="00132CA1" w:rsidRPr="00D95256">
        <w:t xml:space="preserve"> </w:t>
      </w:r>
      <w:proofErr w:type="spellStart"/>
      <w:r w:rsidR="00132CA1" w:rsidRPr="00D95256">
        <w:t>be</w:t>
      </w:r>
      <w:proofErr w:type="spellEnd"/>
      <w:r w:rsidR="00132CA1" w:rsidRPr="00D95256">
        <w:t xml:space="preserve"> to </w:t>
      </w:r>
      <w:proofErr w:type="spellStart"/>
      <w:r w:rsidR="00132CA1" w:rsidRPr="00D95256">
        <w:t>require</w:t>
      </w:r>
      <w:proofErr w:type="spellEnd"/>
      <w:r w:rsidR="00132CA1" w:rsidRPr="00D95256">
        <w:t xml:space="preserve"> </w:t>
      </w:r>
      <w:proofErr w:type="spellStart"/>
      <w:r w:rsidR="00132CA1" w:rsidRPr="00D95256">
        <w:t>the</w:t>
      </w:r>
      <w:proofErr w:type="spellEnd"/>
      <w:r w:rsidR="00132CA1" w:rsidRPr="00D95256">
        <w:t xml:space="preserve"> </w:t>
      </w:r>
      <w:proofErr w:type="spellStart"/>
      <w:r w:rsidR="00132CA1" w:rsidRPr="00D95256">
        <w:t>ratification</w:t>
      </w:r>
      <w:proofErr w:type="spellEnd"/>
      <w:r w:rsidR="00132CA1" w:rsidRPr="00D95256">
        <w:t xml:space="preserve"> and adoption of </w:t>
      </w:r>
      <w:proofErr w:type="spellStart"/>
      <w:r w:rsidR="00132CA1" w:rsidRPr="00D95256">
        <w:t>the</w:t>
      </w:r>
      <w:proofErr w:type="spellEnd"/>
      <w:r w:rsidR="00132CA1" w:rsidRPr="00D95256">
        <w:t xml:space="preserve"> </w:t>
      </w:r>
      <w:proofErr w:type="spellStart"/>
      <w:r w:rsidR="00132CA1" w:rsidRPr="00D95256">
        <w:t>Berne</w:t>
      </w:r>
      <w:proofErr w:type="spellEnd"/>
      <w:r w:rsidR="00132CA1" w:rsidRPr="00D95256">
        <w:t xml:space="preserve"> </w:t>
      </w:r>
      <w:proofErr w:type="spellStart"/>
      <w:r w:rsidR="00132CA1" w:rsidRPr="00D95256">
        <w:t>Convention</w:t>
      </w:r>
      <w:proofErr w:type="spellEnd"/>
      <w:r w:rsidR="00132CA1" w:rsidRPr="00D95256">
        <w:t xml:space="preserve"> </w:t>
      </w:r>
      <w:proofErr w:type="spellStart"/>
      <w:r w:rsidR="00132CA1" w:rsidRPr="00D95256">
        <w:t>through</w:t>
      </w:r>
      <w:proofErr w:type="spellEnd"/>
      <w:r w:rsidR="00132CA1" w:rsidRPr="00D95256">
        <w:t xml:space="preserve"> </w:t>
      </w:r>
      <w:proofErr w:type="spellStart"/>
      <w:r w:rsidR="00132CA1" w:rsidRPr="00D95256">
        <w:t>Community</w:t>
      </w:r>
      <w:proofErr w:type="spellEnd"/>
      <w:r w:rsidR="00132CA1" w:rsidRPr="00D95256">
        <w:t xml:space="preserve"> </w:t>
      </w:r>
      <w:proofErr w:type="spellStart"/>
      <w:r w:rsidR="00132CA1" w:rsidRPr="00D95256">
        <w:t>law</w:t>
      </w:r>
      <w:proofErr w:type="spellEnd"/>
      <w:r w:rsidR="00132CA1" w:rsidRPr="00D95256">
        <w:t>.</w:t>
      </w:r>
      <w:r w:rsidR="00132CA1">
        <w:rPr>
          <w:rStyle w:val="Alaviitteenviite"/>
          <w:lang w:val="en-US"/>
        </w:rPr>
        <w:footnoteReference w:id="2"/>
      </w:r>
      <w:r w:rsidR="00D95256">
        <w:t>”</w:t>
      </w:r>
    </w:p>
    <w:p w14:paraId="57BD515F" w14:textId="77777777" w:rsidR="00D95256" w:rsidRDefault="00D95256" w:rsidP="00D95256">
      <w:pPr>
        <w:ind w:left="1304"/>
      </w:pPr>
      <w:r>
        <w:t xml:space="preserve">Oikeuskirjallisuudessa Veit </w:t>
      </w:r>
      <w:proofErr w:type="spellStart"/>
      <w:r>
        <w:t>Koeste</w:t>
      </w:r>
      <w:r w:rsidR="00412B4E">
        <w:t>r</w:t>
      </w:r>
      <w:proofErr w:type="spellEnd"/>
      <w:r>
        <w:t xml:space="preserve"> on pitänyt E</w:t>
      </w:r>
      <w:r w:rsidR="005A1356">
        <w:t>uroopan unionin</w:t>
      </w:r>
      <w:r>
        <w:t xml:space="preserve"> lintu- ja luontodirektiivejä ilmeisinä ja selvinä Bernin sopimuksen </w:t>
      </w:r>
      <w:proofErr w:type="spellStart"/>
      <w:r>
        <w:t>täytäntöönpanoasiakirjoina</w:t>
      </w:r>
      <w:proofErr w:type="spellEnd"/>
      <w:r>
        <w:t xml:space="preserve"> ja hän perustelee näkemystään </w:t>
      </w:r>
      <w:proofErr w:type="gramStart"/>
      <w:r>
        <w:t>seuraavasti .</w:t>
      </w:r>
      <w:proofErr w:type="gramEnd"/>
    </w:p>
    <w:p w14:paraId="14E7871A" w14:textId="77777777" w:rsidR="00D95256" w:rsidRDefault="00D95256" w:rsidP="00D95256">
      <w:pPr>
        <w:ind w:left="1304"/>
      </w:pPr>
      <w:r>
        <w:t>1. Asia ilmenee direktiivien valmistelutöistä;</w:t>
      </w:r>
    </w:p>
    <w:p w14:paraId="11369EE7" w14:textId="77777777" w:rsidR="00D95256" w:rsidRDefault="00D95256" w:rsidP="00D95256">
      <w:pPr>
        <w:ind w:left="1304"/>
      </w:pPr>
      <w:r>
        <w:t>2. Asia kävi ilmi sopimusneuvotteluissa; ja</w:t>
      </w:r>
    </w:p>
    <w:p w14:paraId="777ACF11" w14:textId="77777777" w:rsidR="00D95256" w:rsidRDefault="00D95256" w:rsidP="00D95256">
      <w:pPr>
        <w:ind w:left="1304"/>
      </w:pPr>
      <w:r>
        <w:t xml:space="preserve">3. Lintu- ja luontodirektiivit ovat pääosin kopio Bernin sopimuksesta </w:t>
      </w:r>
      <w:r>
        <w:rPr>
          <w:rStyle w:val="Alaviitteenviite"/>
        </w:rPr>
        <w:footnoteReference w:id="3"/>
      </w:r>
      <w:r>
        <w:t>.</w:t>
      </w:r>
    </w:p>
    <w:p w14:paraId="3D66C67F" w14:textId="77777777" w:rsidR="00DF0981" w:rsidRDefault="00DF0981" w:rsidP="00D95256">
      <w:pPr>
        <w:ind w:left="1304"/>
      </w:pPr>
      <w:proofErr w:type="spellStart"/>
      <w:r>
        <w:t>Kosterin</w:t>
      </w:r>
      <w:proofErr w:type="spellEnd"/>
      <w:r>
        <w:t xml:space="preserve"> kantaan voi lisätä sen, että </w:t>
      </w:r>
      <w:r w:rsidRPr="00DF0981">
        <w:t xml:space="preserve">Euroopan talousyhteisö mainitaan </w:t>
      </w:r>
      <w:r w:rsidR="005E45ED">
        <w:t xml:space="preserve">myös </w:t>
      </w:r>
      <w:r>
        <w:t xml:space="preserve">itse </w:t>
      </w:r>
      <w:r w:rsidRPr="00DF0981">
        <w:t xml:space="preserve">Bernin </w:t>
      </w:r>
      <w:r>
        <w:t xml:space="preserve">sopimuksen tekstissä </w:t>
      </w:r>
      <w:r w:rsidRPr="00DF0981">
        <w:t>13, 18, 19 ja 24 artikloissa.</w:t>
      </w:r>
    </w:p>
    <w:p w14:paraId="2AD9D1C7" w14:textId="77777777" w:rsidR="00DF0981" w:rsidRDefault="00DF0981" w:rsidP="00D95256">
      <w:pPr>
        <w:ind w:left="1304"/>
      </w:pPr>
      <w:proofErr w:type="spellStart"/>
      <w:r>
        <w:t>Koester</w:t>
      </w:r>
      <w:proofErr w:type="spellEnd"/>
      <w:r>
        <w:t xml:space="preserve"> on ollut läsnä, kun idea Bernin sopimuksesta esitettiin Euroopan neuvoston </w:t>
      </w:r>
      <w:r w:rsidR="005A1356">
        <w:t xml:space="preserve">jäsenvaltioiden </w:t>
      </w:r>
      <w:r>
        <w:t>ympäristöminister</w:t>
      </w:r>
      <w:r w:rsidR="005A1356">
        <w:t>eiden</w:t>
      </w:r>
      <w:r>
        <w:t xml:space="preserve"> kokouksessa ja hän johti Tanskan neuvottelukuntaa Bernin sopimuksen valmisteluvaiheesta aina hyväksymiseen ja ratifioimiseen saakka</w:t>
      </w:r>
      <w:r>
        <w:rPr>
          <w:rStyle w:val="Alaviitteenviite"/>
        </w:rPr>
        <w:footnoteReference w:id="4"/>
      </w:r>
      <w:r>
        <w:t>.</w:t>
      </w:r>
    </w:p>
    <w:p w14:paraId="01517864" w14:textId="77777777" w:rsidR="00DF0981" w:rsidRDefault="003662C4" w:rsidP="00D95256">
      <w:pPr>
        <w:ind w:left="1304"/>
      </w:pPr>
      <w:proofErr w:type="spellStart"/>
      <w:r>
        <w:t>Koester</w:t>
      </w:r>
      <w:proofErr w:type="spellEnd"/>
      <w:r>
        <w:t xml:space="preserve"> viittaa toiseen tunnettuun ympäristöjuristiin</w:t>
      </w:r>
      <w:r w:rsidR="00BA666E">
        <w:t xml:space="preserve"> Ludwig </w:t>
      </w:r>
      <w:proofErr w:type="spellStart"/>
      <w:r w:rsidR="00BA666E">
        <w:t>Krämeriin</w:t>
      </w:r>
      <w:proofErr w:type="spellEnd"/>
      <w:r w:rsidR="00BA666E">
        <w:t xml:space="preserve">. </w:t>
      </w:r>
      <w:proofErr w:type="spellStart"/>
      <w:r w:rsidR="00BA666E" w:rsidRPr="00BA666E">
        <w:t>Krämer</w:t>
      </w:r>
      <w:proofErr w:type="spellEnd"/>
      <w:r w:rsidR="00BA666E" w:rsidRPr="00BA666E">
        <w:t xml:space="preserve"> siirtyi työskentelemään Euroopan unionin komission ympäristön pääosastossa (European Commission - </w:t>
      </w:r>
      <w:proofErr w:type="spellStart"/>
      <w:r w:rsidR="00BA666E" w:rsidRPr="00BA666E">
        <w:t>Directorate</w:t>
      </w:r>
      <w:proofErr w:type="spellEnd"/>
      <w:r w:rsidR="00BA666E" w:rsidRPr="00BA666E">
        <w:t xml:space="preserve">-General for </w:t>
      </w:r>
      <w:proofErr w:type="spellStart"/>
      <w:r w:rsidR="00BA666E" w:rsidRPr="00BA666E">
        <w:t>the</w:t>
      </w:r>
      <w:proofErr w:type="spellEnd"/>
      <w:r w:rsidR="00BA666E" w:rsidRPr="00BA666E">
        <w:t xml:space="preserve"> </w:t>
      </w:r>
      <w:proofErr w:type="gramStart"/>
      <w:r w:rsidR="00BA666E" w:rsidRPr="00BA666E">
        <w:t>Environment  (</w:t>
      </w:r>
      <w:proofErr w:type="gramEnd"/>
      <w:r w:rsidR="00BA666E" w:rsidRPr="00BA666E">
        <w:t>D-G Environment)) vuonna 1984 ja vuosina 1987-1994 hän oli yksikön lakiosaston päällikkö ja vuosina 1995-2000 hän oli yksikön jäteasioista vastaavan osaston päällikkö ja 2001-2004 hän oli pääjohtaja, jonka jälkeen hän jäi eläkkeelle.</w:t>
      </w:r>
    </w:p>
    <w:p w14:paraId="2D84578A" w14:textId="77777777" w:rsidR="003662C4" w:rsidRDefault="003662C4" w:rsidP="003662C4">
      <w:pPr>
        <w:ind w:left="1304"/>
      </w:pPr>
      <w:r>
        <w:t xml:space="preserve">Krämer vastasi kysymykseen Bernin sopimuksen täytäntöönpanosta Euroopan unionissa </w:t>
      </w:r>
      <w:proofErr w:type="gramStart"/>
      <w:r>
        <w:t>seuraavasti :</w:t>
      </w:r>
      <w:proofErr w:type="gramEnd"/>
    </w:p>
    <w:p w14:paraId="491F205A" w14:textId="77777777" w:rsidR="003662C4" w:rsidRDefault="003662C4" w:rsidP="003662C4">
      <w:pPr>
        <w:ind w:left="1304"/>
        <w:rPr>
          <w:lang w:val="en-US"/>
        </w:rPr>
      </w:pPr>
      <w:r w:rsidRPr="003662C4">
        <w:rPr>
          <w:lang w:val="en-US"/>
        </w:rPr>
        <w:t xml:space="preserve">“…the Community's secondary legislation determines whether the </w:t>
      </w:r>
      <w:r w:rsidRPr="009A5325">
        <w:rPr>
          <w:i/>
          <w:lang w:val="en-US"/>
        </w:rPr>
        <w:t>[Bern JK]</w:t>
      </w:r>
      <w:r w:rsidRPr="003662C4">
        <w:rPr>
          <w:lang w:val="en-US"/>
        </w:rPr>
        <w:t xml:space="preserve"> convention is implemented by the member states of the Community or by the Community itself; </w:t>
      </w:r>
      <w:r w:rsidRPr="003662C4">
        <w:rPr>
          <w:lang w:val="en-US"/>
        </w:rPr>
        <w:lastRenderedPageBreak/>
        <w:t>the main items of secondary legislation to date are the Convention on the Conservation of Wild Birds and the Directive on the Conservation of Natural Habitats and of Wild Fauna and Flora.</w:t>
      </w:r>
      <w:r w:rsidR="003702BE">
        <w:rPr>
          <w:rStyle w:val="Alaviitteenviite"/>
          <w:lang w:val="en-US"/>
        </w:rPr>
        <w:footnoteReference w:id="5"/>
      </w:r>
      <w:r w:rsidRPr="003662C4">
        <w:rPr>
          <w:lang w:val="en-US"/>
        </w:rPr>
        <w:t>”</w:t>
      </w:r>
    </w:p>
    <w:p w14:paraId="4A28EC28" w14:textId="77777777" w:rsidR="00BA666E" w:rsidRPr="001450AB" w:rsidRDefault="00BA666E" w:rsidP="003662C4">
      <w:pPr>
        <w:ind w:left="1304"/>
        <w:rPr>
          <w:lang w:val="en-US"/>
        </w:rPr>
      </w:pPr>
      <w:r w:rsidRPr="00BA666E">
        <w:t xml:space="preserve">Ajatus on alusta asti ollut, että Bernin sopimuksen soveltamisen yksityiskohdat ovat toissijaisuusperiaatteen mukaisesti jäsenvaltioiden asia, mikä käy ilmi Euroopan unionin talous ja sosiaalikomitean luontodirektiivin valmistelutöihin liittyvästä lausunnosta: ” </w:t>
      </w:r>
      <w:proofErr w:type="spellStart"/>
      <w:r w:rsidR="001450AB" w:rsidRPr="001450AB">
        <w:t>The</w:t>
      </w:r>
      <w:proofErr w:type="spellEnd"/>
      <w:r w:rsidR="001450AB" w:rsidRPr="001450AB">
        <w:t xml:space="preserve"> </w:t>
      </w:r>
      <w:proofErr w:type="spellStart"/>
      <w:r w:rsidR="001450AB" w:rsidRPr="001450AB">
        <w:t>effect</w:t>
      </w:r>
      <w:proofErr w:type="spellEnd"/>
      <w:r w:rsidR="001450AB" w:rsidRPr="001450AB">
        <w:t xml:space="preserve"> </w:t>
      </w:r>
      <w:proofErr w:type="spellStart"/>
      <w:r w:rsidR="001450AB" w:rsidRPr="001450AB">
        <w:t>would</w:t>
      </w:r>
      <w:proofErr w:type="spellEnd"/>
      <w:r w:rsidR="001450AB" w:rsidRPr="001450AB">
        <w:t xml:space="preserve"> </w:t>
      </w:r>
      <w:proofErr w:type="spellStart"/>
      <w:r w:rsidR="001450AB" w:rsidRPr="001450AB">
        <w:t>be</w:t>
      </w:r>
      <w:proofErr w:type="spellEnd"/>
      <w:r w:rsidR="001450AB" w:rsidRPr="001450AB">
        <w:t xml:space="preserve"> to </w:t>
      </w:r>
      <w:proofErr w:type="spellStart"/>
      <w:r w:rsidR="001450AB" w:rsidRPr="001450AB">
        <w:t>require</w:t>
      </w:r>
      <w:proofErr w:type="spellEnd"/>
      <w:r w:rsidR="001450AB" w:rsidRPr="001450AB">
        <w:t xml:space="preserve"> </w:t>
      </w:r>
      <w:proofErr w:type="spellStart"/>
      <w:r w:rsidR="001450AB" w:rsidRPr="001450AB">
        <w:t>the</w:t>
      </w:r>
      <w:proofErr w:type="spellEnd"/>
      <w:r w:rsidR="001450AB" w:rsidRPr="001450AB">
        <w:t xml:space="preserve"> </w:t>
      </w:r>
      <w:proofErr w:type="spellStart"/>
      <w:r w:rsidR="001450AB" w:rsidRPr="001450AB">
        <w:t>ratification</w:t>
      </w:r>
      <w:proofErr w:type="spellEnd"/>
      <w:r w:rsidR="001450AB" w:rsidRPr="001450AB">
        <w:t xml:space="preserve"> and adoption of </w:t>
      </w:r>
      <w:proofErr w:type="spellStart"/>
      <w:r w:rsidR="001450AB" w:rsidRPr="001450AB">
        <w:t>the</w:t>
      </w:r>
      <w:proofErr w:type="spellEnd"/>
      <w:r w:rsidR="001450AB" w:rsidRPr="001450AB">
        <w:t xml:space="preserve"> </w:t>
      </w:r>
      <w:proofErr w:type="spellStart"/>
      <w:r w:rsidR="001450AB" w:rsidRPr="001450AB">
        <w:t>Berne</w:t>
      </w:r>
      <w:proofErr w:type="spellEnd"/>
      <w:r w:rsidR="001450AB" w:rsidRPr="001450AB">
        <w:t xml:space="preserve"> </w:t>
      </w:r>
      <w:proofErr w:type="spellStart"/>
      <w:r w:rsidR="001450AB" w:rsidRPr="001450AB">
        <w:t>Convention</w:t>
      </w:r>
      <w:proofErr w:type="spellEnd"/>
      <w:r w:rsidR="001450AB" w:rsidRPr="001450AB">
        <w:t xml:space="preserve"> </w:t>
      </w:r>
      <w:proofErr w:type="spellStart"/>
      <w:r w:rsidR="001450AB" w:rsidRPr="001450AB">
        <w:t>through</w:t>
      </w:r>
      <w:proofErr w:type="spellEnd"/>
      <w:r w:rsidR="001450AB" w:rsidRPr="001450AB">
        <w:t xml:space="preserve"> </w:t>
      </w:r>
      <w:proofErr w:type="spellStart"/>
      <w:r w:rsidR="001450AB" w:rsidRPr="001450AB">
        <w:t>Community</w:t>
      </w:r>
      <w:proofErr w:type="spellEnd"/>
      <w:r w:rsidR="001450AB" w:rsidRPr="001450AB">
        <w:t xml:space="preserve"> </w:t>
      </w:r>
      <w:proofErr w:type="spellStart"/>
      <w:r w:rsidR="001450AB" w:rsidRPr="001450AB">
        <w:t>law</w:t>
      </w:r>
      <w:proofErr w:type="spellEnd"/>
      <w:r w:rsidR="001450AB" w:rsidRPr="001450AB">
        <w:t xml:space="preserve">. </w:t>
      </w:r>
      <w:r w:rsidR="001450AB" w:rsidRPr="001450AB">
        <w:rPr>
          <w:lang w:val="en-US"/>
        </w:rPr>
        <w:t>The details of implementation are to be left to the Member States, following the principle of 'subsidiarity'.</w:t>
      </w:r>
      <w:r>
        <w:rPr>
          <w:rStyle w:val="Alaviitteenviite"/>
        </w:rPr>
        <w:footnoteReference w:id="6"/>
      </w:r>
      <w:r w:rsidRPr="001450AB">
        <w:rPr>
          <w:lang w:val="en-US"/>
        </w:rPr>
        <w:t>”</w:t>
      </w:r>
    </w:p>
    <w:p w14:paraId="1EF89965" w14:textId="77777777" w:rsidR="00BA666E" w:rsidRPr="00BA666E" w:rsidRDefault="00BA666E" w:rsidP="00BA666E">
      <w:pPr>
        <w:ind w:left="1304"/>
      </w:pPr>
      <w:proofErr w:type="spellStart"/>
      <w:r w:rsidRPr="00BA666E">
        <w:t>Krämer</w:t>
      </w:r>
      <w:proofErr w:type="spellEnd"/>
      <w:r w:rsidRPr="00BA666E">
        <w:t xml:space="preserve"> otti kantaa Bernin sopimuksen ja Euroopan unionin direktiivien sisällölliseen suhteeseen </w:t>
      </w:r>
      <w:proofErr w:type="gramStart"/>
      <w:r w:rsidRPr="00BA666E">
        <w:t>seuraavasti :</w:t>
      </w:r>
      <w:proofErr w:type="gramEnd"/>
    </w:p>
    <w:p w14:paraId="42216985" w14:textId="77777777" w:rsidR="00BA666E" w:rsidRDefault="00BA666E" w:rsidP="00BA666E">
      <w:pPr>
        <w:ind w:left="1304"/>
        <w:rPr>
          <w:lang w:val="en-US"/>
        </w:rPr>
      </w:pPr>
      <w:r w:rsidRPr="00BA666E">
        <w:rPr>
          <w:lang w:val="en-US"/>
        </w:rPr>
        <w:t xml:space="preserve">“In practice, the emphasis placed by the Community on the protection of habitats and wild fauna and flora has not generated any divergence of interpretation as between the Bern Convention and Community law: the two instruments function like communicating vessels </w:t>
      </w:r>
      <w:r w:rsidRPr="009A5325">
        <w:rPr>
          <w:i/>
          <w:lang w:val="en-US"/>
        </w:rPr>
        <w:t>[</w:t>
      </w:r>
      <w:proofErr w:type="spellStart"/>
      <w:r w:rsidRPr="009A5325">
        <w:rPr>
          <w:i/>
          <w:lang w:val="en-US"/>
        </w:rPr>
        <w:t>yhtyvien</w:t>
      </w:r>
      <w:proofErr w:type="spellEnd"/>
      <w:r w:rsidRPr="009A5325">
        <w:rPr>
          <w:i/>
          <w:lang w:val="en-US"/>
        </w:rPr>
        <w:t xml:space="preserve"> </w:t>
      </w:r>
      <w:proofErr w:type="spellStart"/>
      <w:r w:rsidRPr="009A5325">
        <w:rPr>
          <w:i/>
          <w:lang w:val="en-US"/>
        </w:rPr>
        <w:t>astioiden</w:t>
      </w:r>
      <w:proofErr w:type="spellEnd"/>
      <w:r w:rsidRPr="009A5325">
        <w:rPr>
          <w:i/>
          <w:lang w:val="en-US"/>
        </w:rPr>
        <w:t xml:space="preserve"> </w:t>
      </w:r>
      <w:proofErr w:type="spellStart"/>
      <w:r w:rsidRPr="009A5325">
        <w:rPr>
          <w:i/>
          <w:lang w:val="en-US"/>
        </w:rPr>
        <w:t>laki</w:t>
      </w:r>
      <w:proofErr w:type="spellEnd"/>
      <w:r w:rsidRPr="009A5325">
        <w:rPr>
          <w:i/>
          <w:lang w:val="en-US"/>
        </w:rPr>
        <w:t xml:space="preserve"> – </w:t>
      </w:r>
      <w:proofErr w:type="spellStart"/>
      <w:r w:rsidRPr="009A5325">
        <w:rPr>
          <w:i/>
          <w:lang w:val="en-US"/>
        </w:rPr>
        <w:t>fysiikka</w:t>
      </w:r>
      <w:proofErr w:type="spellEnd"/>
      <w:r w:rsidRPr="009A5325">
        <w:rPr>
          <w:i/>
          <w:lang w:val="en-US"/>
        </w:rPr>
        <w:t xml:space="preserve"> JK]</w:t>
      </w:r>
      <w:r w:rsidRPr="00BA666E">
        <w:rPr>
          <w:lang w:val="en-US"/>
        </w:rPr>
        <w:t>.</w:t>
      </w:r>
      <w:r w:rsidR="001450AB">
        <w:rPr>
          <w:rStyle w:val="Alaviitteenviite"/>
          <w:lang w:val="en-US"/>
        </w:rPr>
        <w:footnoteReference w:id="7"/>
      </w:r>
      <w:r w:rsidRPr="00BA666E">
        <w:rPr>
          <w:lang w:val="en-US"/>
        </w:rPr>
        <w:t xml:space="preserve">” </w:t>
      </w:r>
    </w:p>
    <w:p w14:paraId="16D9E524" w14:textId="77777777" w:rsidR="001A6694" w:rsidRDefault="001A6694" w:rsidP="00BA666E">
      <w:pPr>
        <w:ind w:left="1304"/>
      </w:pPr>
      <w:r w:rsidRPr="001A6694">
        <w:t xml:space="preserve">Ympäristöasiat eivät ole Euroopan unionin yksinomaisessa toimivallassa. SEUT 4.2e artiklan mukaan ympäristöasiat kuuluvat jaetun toimivallan piiriin. Euroopan unioni ei </w:t>
      </w:r>
      <w:r>
        <w:t xml:space="preserve">ylipäätään </w:t>
      </w:r>
      <w:r w:rsidRPr="001A6694">
        <w:t xml:space="preserve">ole ns. valtio valtiossa, vaan se käyttää jäsenmailtaan saamaansa toimivaltaa. Perustuslakivaliokunnan sanoin ”jäsenyyden vaikutuksia </w:t>
      </w:r>
      <w:proofErr w:type="spellStart"/>
      <w:proofErr w:type="gramStart"/>
      <w:r w:rsidRPr="001A6694">
        <w:t>on..</w:t>
      </w:r>
      <w:proofErr w:type="gramEnd"/>
      <w:r w:rsidRPr="001A6694">
        <w:t>täysivaltaisuuden</w:t>
      </w:r>
      <w:proofErr w:type="spellEnd"/>
      <w:r w:rsidRPr="001A6694">
        <w:t xml:space="preserve"> kannalta asianmukaista luonnehtia niin, että EU:n jäsenenä Suomi käyttäisi osaa suvereniteetistaan yhdessä muiden täysivaltaisten jäsenvaltioiden kanssa eurooppalaisen yhteistoiminnan hyväksi” .</w:t>
      </w:r>
      <w:r>
        <w:rPr>
          <w:rStyle w:val="Alaviitteenviite"/>
        </w:rPr>
        <w:footnoteReference w:id="8"/>
      </w:r>
    </w:p>
    <w:p w14:paraId="4038570B" w14:textId="77777777" w:rsidR="001A6694" w:rsidRDefault="001A6694" w:rsidP="00BA666E">
      <w:pPr>
        <w:ind w:left="1304"/>
      </w:pPr>
      <w:r>
        <w:t xml:space="preserve">Suomi on Bernin </w:t>
      </w:r>
      <w:proofErr w:type="gramStart"/>
      <w:r>
        <w:t>sopimukse</w:t>
      </w:r>
      <w:r w:rsidR="00825E8D">
        <w:t xml:space="preserve">n </w:t>
      </w:r>
      <w:r>
        <w:t xml:space="preserve"> </w:t>
      </w:r>
      <w:r w:rsidR="00825E8D">
        <w:t>2</w:t>
      </w:r>
      <w:proofErr w:type="gramEnd"/>
      <w:r w:rsidR="00825E8D">
        <w:t xml:space="preserve"> artiklassa </w:t>
      </w:r>
      <w:proofErr w:type="spellStart"/>
      <w:r w:rsidR="004D653A">
        <w:t>velvoittautunut</w:t>
      </w:r>
      <w:proofErr w:type="spellEnd"/>
      <w:r>
        <w:t xml:space="preserve"> </w:t>
      </w:r>
      <w:r w:rsidR="00825E8D">
        <w:t xml:space="preserve">suojelua edistäessään </w:t>
      </w:r>
      <w:r>
        <w:t xml:space="preserve">ottamaan huomioon </w:t>
      </w:r>
      <w:r w:rsidR="00825E8D">
        <w:t>”</w:t>
      </w:r>
      <w:r w:rsidR="00825E8D" w:rsidRPr="00825E8D">
        <w:t>taloudelliset ja virkistykselliset vaatimukset</w:t>
      </w:r>
      <w:r w:rsidR="00825E8D">
        <w:t xml:space="preserve">”. </w:t>
      </w:r>
      <w:r w:rsidR="004D653A" w:rsidRPr="004D653A">
        <w:t xml:space="preserve">Direktiiviin vastaava </w:t>
      </w:r>
      <w:r w:rsidR="004D653A">
        <w:t xml:space="preserve">2.3 artiklan </w:t>
      </w:r>
      <w:r w:rsidR="004D653A" w:rsidRPr="004D653A">
        <w:t>säännös on muotoiltu seuraavasti: ”Tämän direktiivin mukaisesti toteutetuilla toimenpiteillä otetaan huomioon taloudelliset, sosiaaliset ja sivistykselliset vaatimukset sekä alueelliset ja paikalliset erityispiirteet.”</w:t>
      </w:r>
    </w:p>
    <w:p w14:paraId="4C7006FB" w14:textId="77777777" w:rsidR="008D523F" w:rsidRDefault="008D523F" w:rsidP="00BA666E">
      <w:pPr>
        <w:ind w:left="1304"/>
      </w:pPr>
      <w:r>
        <w:t xml:space="preserve">Euroopan unionin luontodirektiiviä tulkittaessa ei voida päätyä tilanteeseen, missä metsästyslain (1993/615) 41a.3 §:n soveltaminen on ristiriidassa </w:t>
      </w:r>
      <w:r w:rsidR="003F27EA">
        <w:t>S</w:t>
      </w:r>
      <w:r>
        <w:t xml:space="preserve">uomea sitovan Bernin sopimuksen kanssa. </w:t>
      </w:r>
      <w:r w:rsidRPr="008D523F">
        <w:t xml:space="preserve">Valtiosopimusoikeutta koskeva </w:t>
      </w:r>
      <w:r>
        <w:t>W</w:t>
      </w:r>
      <w:r w:rsidRPr="008D523F">
        <w:t>ienin yleissopimu</w:t>
      </w:r>
      <w:r w:rsidR="001312DC">
        <w:t>ksen</w:t>
      </w:r>
      <w:r>
        <w:t xml:space="preserve"> (</w:t>
      </w:r>
      <w:proofErr w:type="spellStart"/>
      <w:r>
        <w:t>SopS</w:t>
      </w:r>
      <w:proofErr w:type="spellEnd"/>
      <w:r>
        <w:t xml:space="preserve"> 1980/33) 26-27 ja 31-34 artiklat rajoittavat </w:t>
      </w:r>
      <w:r w:rsidR="00067A25">
        <w:t>Euroopan unionin toimintaa aivan samalla tavalla kuin Suomen toimintaa.</w:t>
      </w:r>
    </w:p>
    <w:p w14:paraId="00C897B1" w14:textId="77777777" w:rsidR="001312DC" w:rsidRDefault="001312DC" w:rsidP="00BA666E">
      <w:pPr>
        <w:ind w:left="1304"/>
      </w:pPr>
      <w:r>
        <w:t xml:space="preserve">Sama suurpetojen poikkeuslupia koskeva sääntely koskee Norjaa, Ruotsia ja Suomea. Suomessa suurpetoja koskeva lainsoveltamiskäytäntö on erkaantunut Norjassa ja </w:t>
      </w:r>
      <w:r>
        <w:lastRenderedPageBreak/>
        <w:t>Ruotsissa noudatettavasta soveltamiskäytännöstä ja eritoten sivuuttanut Bernin sopimuksen laintulkinnan lähteenä.</w:t>
      </w:r>
    </w:p>
    <w:p w14:paraId="2A6FFFE0" w14:textId="3ADB19E9" w:rsidR="00E14581" w:rsidRPr="00832553" w:rsidRDefault="00843902" w:rsidP="00847A02">
      <w:pPr>
        <w:ind w:left="1304"/>
      </w:pPr>
      <w:r>
        <w:t xml:space="preserve">Vuonna 2009 </w:t>
      </w:r>
      <w:r w:rsidR="00EF05E4">
        <w:t xml:space="preserve">Norjan toimista tehtiin Bernin sopimuksen </w:t>
      </w:r>
      <w:r w:rsidR="008E2D05">
        <w:t>työvaliokunnalle (</w:t>
      </w:r>
      <w:r w:rsidR="00A33E72">
        <w:t>bureau)</w:t>
      </w:r>
      <w:r w:rsidR="00EF05E4">
        <w:t xml:space="preserve"> kantelu, kun Norjan viranomaiset olivat antaneet luvan </w:t>
      </w:r>
      <w:r w:rsidR="00EF05E4" w:rsidRPr="00EF05E4">
        <w:t xml:space="preserve">75 </w:t>
      </w:r>
      <w:r w:rsidR="00EF05E4">
        <w:t>karhun</w:t>
      </w:r>
      <w:r w:rsidR="00EF05E4" w:rsidRPr="00EF05E4">
        <w:t xml:space="preserve">, 46 </w:t>
      </w:r>
      <w:r w:rsidR="00EF05E4">
        <w:t>ilveksen</w:t>
      </w:r>
      <w:r w:rsidR="00EF05E4" w:rsidRPr="00EF05E4">
        <w:t xml:space="preserve">, 40 </w:t>
      </w:r>
      <w:r w:rsidR="00EF05E4">
        <w:t>ahman</w:t>
      </w:r>
      <w:r w:rsidR="00EF05E4" w:rsidRPr="00EF05E4">
        <w:t xml:space="preserve"> </w:t>
      </w:r>
      <w:r w:rsidR="00EF05E4">
        <w:t>ja</w:t>
      </w:r>
      <w:r w:rsidR="00EF05E4" w:rsidRPr="00EF05E4">
        <w:t xml:space="preserve"> 21 </w:t>
      </w:r>
      <w:r w:rsidR="00EF05E4">
        <w:t xml:space="preserve">suden pyydystämiseen. Norjassa ei ollut vuoden 1850 jälkeen pyydetty </w:t>
      </w:r>
      <w:r w:rsidR="005A1356">
        <w:t xml:space="preserve">luvallisesti </w:t>
      </w:r>
      <w:r w:rsidR="00EF05E4">
        <w:t xml:space="preserve">yhtä montaa suurpetoa. </w:t>
      </w:r>
      <w:r w:rsidR="00D50531" w:rsidRPr="00D50531">
        <w:t xml:space="preserve">Norjan ympäristöviraston elokuussa 2010 </w:t>
      </w:r>
      <w:r w:rsidR="009A5325">
        <w:t xml:space="preserve">kanteluun </w:t>
      </w:r>
      <w:r w:rsidR="00D50531" w:rsidRPr="00D50531">
        <w:t xml:space="preserve">antamassa vastauksessa lausuttiin, että suurpetojen </w:t>
      </w:r>
      <w:proofErr w:type="spellStart"/>
      <w:r w:rsidR="00D50531" w:rsidRPr="00D50531">
        <w:t>kannanhallinta</w:t>
      </w:r>
      <w:proofErr w:type="spellEnd"/>
      <w:r w:rsidR="00D50531" w:rsidRPr="00D50531">
        <w:t xml:space="preserve"> o</w:t>
      </w:r>
      <w:r w:rsidR="00D50531">
        <w:t>n ollut viime vuosikymmeninä toistuvien parlamenttikeskustelujen aiheena ja asiasta on laadittu useita mietintöjä.</w:t>
      </w:r>
      <w:r w:rsidR="00EE0C75">
        <w:t xml:space="preserve"> </w:t>
      </w:r>
      <w:r w:rsidR="000648D5">
        <w:t>Norjassa o</w:t>
      </w:r>
      <w:r w:rsidR="00EE0C75" w:rsidRPr="00EE0C75">
        <w:t>maksutun suurpetosääntelyn tarkoituksena on ”varmistaa kestävä ilves-, ahma-, karhu-, s</w:t>
      </w:r>
      <w:r w:rsidR="00EE0C75">
        <w:t xml:space="preserve">usi- ja </w:t>
      </w:r>
      <w:proofErr w:type="spellStart"/>
      <w:r w:rsidR="00EE0C75">
        <w:t>kotkakannan</w:t>
      </w:r>
      <w:proofErr w:type="spellEnd"/>
      <w:r w:rsidR="00EE0C75">
        <w:t xml:space="preserve"> hallinta”. </w:t>
      </w:r>
      <w:proofErr w:type="spellStart"/>
      <w:r w:rsidR="008B2B22">
        <w:t>Kannanhallinnan</w:t>
      </w:r>
      <w:proofErr w:type="spellEnd"/>
      <w:r w:rsidR="008B2B22">
        <w:t xml:space="preserve"> tulee ottaa huomioon elinkeinot</w:t>
      </w:r>
      <w:r w:rsidR="003338C5">
        <w:t xml:space="preserve"> ja muut yhteiskunnalliset intressit. Kansallinen seurantajärjestelmä on perustettu seuraamaan suurpetopopulaatioiden kehitystä ja seuranta selvästi osoittaa, että suurpetokantojen kehitys on kasvava.</w:t>
      </w:r>
      <w:r w:rsidR="004C6B5F">
        <w:t xml:space="preserve"> Bernin sopimuksen </w:t>
      </w:r>
      <w:r w:rsidR="00A33E72">
        <w:t>työvaliokunta (bureau)</w:t>
      </w:r>
      <w:r w:rsidR="00E14581">
        <w:t xml:space="preserve"> piti Norjan viranomaisten antamaa selitystä tyydyttävänä ja </w:t>
      </w:r>
      <w:r w:rsidR="00847A02">
        <w:t>totesi asian koskevan Bernin sopimuksen 9 artiklan ennakoimia poikkeuksia</w:t>
      </w:r>
      <w:r w:rsidR="00F30B76">
        <w:t xml:space="preserve"> (Luontodirektiivin 92/43/ETY) 16 artikla on kopio Bernin sopimuksen 9</w:t>
      </w:r>
      <w:r w:rsidR="00BA77AF">
        <w:t> </w:t>
      </w:r>
      <w:r w:rsidR="00F30B76">
        <w:t>artiklasta)</w:t>
      </w:r>
      <w:r w:rsidR="00E14581">
        <w:t>.</w:t>
      </w:r>
      <w:r w:rsidR="00E14581">
        <w:rPr>
          <w:rStyle w:val="Alaviitteenviite"/>
        </w:rPr>
        <w:footnoteReference w:id="9"/>
      </w:r>
    </w:p>
    <w:p w14:paraId="25B7EC0D" w14:textId="5B31C786" w:rsidR="00156B40" w:rsidRPr="00642450" w:rsidRDefault="00642450" w:rsidP="00EF05E4">
      <w:pPr>
        <w:ind w:left="1304"/>
      </w:pPr>
      <w:r w:rsidRPr="00642450">
        <w:t>Ruotsissa on vastaavan tyyppinen s</w:t>
      </w:r>
      <w:r>
        <w:t xml:space="preserve">ääntely käytössä. </w:t>
      </w:r>
      <w:proofErr w:type="spellStart"/>
      <w:r w:rsidR="00513EF1">
        <w:t>Jak</w:t>
      </w:r>
      <w:bookmarkStart w:id="0" w:name="_GoBack"/>
      <w:bookmarkEnd w:id="0"/>
      <w:r w:rsidR="00513EF1">
        <w:t>tförordning</w:t>
      </w:r>
      <w:proofErr w:type="spellEnd"/>
      <w:r w:rsidR="00513EF1">
        <w:t xml:space="preserve"> (1987:905) pitää sisällään erilliset säännökset suojeluperusteella ja </w:t>
      </w:r>
      <w:proofErr w:type="spellStart"/>
      <w:r w:rsidR="00513EF1">
        <w:t>kannanhoidollisella</w:t>
      </w:r>
      <w:proofErr w:type="spellEnd"/>
      <w:r w:rsidR="00513EF1">
        <w:t xml:space="preserve"> perusteella annettaville poikkeusluville. </w:t>
      </w:r>
      <w:r w:rsidR="008F2FEA">
        <w:t xml:space="preserve">Lupien myöntämistä sääntelee </w:t>
      </w:r>
      <w:proofErr w:type="spellStart"/>
      <w:r w:rsidR="008F2FEA">
        <w:t>förordning</w:t>
      </w:r>
      <w:proofErr w:type="spellEnd"/>
      <w:r w:rsidR="008F2FEA">
        <w:t xml:space="preserve"> (2009:1263) on </w:t>
      </w:r>
      <w:proofErr w:type="spellStart"/>
      <w:r w:rsidR="008F2FEA">
        <w:t>förvaltning</w:t>
      </w:r>
      <w:proofErr w:type="spellEnd"/>
      <w:r w:rsidR="008F2FEA">
        <w:t xml:space="preserve"> av </w:t>
      </w:r>
      <w:proofErr w:type="spellStart"/>
      <w:r w:rsidR="008F2FEA">
        <w:t>björn</w:t>
      </w:r>
      <w:proofErr w:type="spellEnd"/>
      <w:r w:rsidR="008F2FEA">
        <w:t xml:space="preserve">, </w:t>
      </w:r>
      <w:proofErr w:type="spellStart"/>
      <w:r w:rsidR="008F2FEA">
        <w:t>varg</w:t>
      </w:r>
      <w:proofErr w:type="spellEnd"/>
      <w:r w:rsidR="008F2FEA">
        <w:t xml:space="preserve">, </w:t>
      </w:r>
      <w:proofErr w:type="spellStart"/>
      <w:r w:rsidR="008F2FEA">
        <w:t>järv</w:t>
      </w:r>
      <w:proofErr w:type="spellEnd"/>
      <w:r w:rsidR="008F2FEA">
        <w:t xml:space="preserve">, </w:t>
      </w:r>
      <w:proofErr w:type="spellStart"/>
      <w:r w:rsidR="008F2FEA">
        <w:t>lo</w:t>
      </w:r>
      <w:proofErr w:type="spellEnd"/>
      <w:r w:rsidR="008F2FEA">
        <w:t xml:space="preserve"> </w:t>
      </w:r>
      <w:proofErr w:type="spellStart"/>
      <w:r w:rsidR="008F2FEA">
        <w:t>och</w:t>
      </w:r>
      <w:proofErr w:type="spellEnd"/>
      <w:r w:rsidR="008F2FEA">
        <w:t xml:space="preserve"> </w:t>
      </w:r>
      <w:proofErr w:type="spellStart"/>
      <w:r w:rsidR="008F2FEA">
        <w:t>kungsörn</w:t>
      </w:r>
      <w:proofErr w:type="spellEnd"/>
      <w:r w:rsidR="008F2FEA">
        <w:t xml:space="preserve">, jonka sääntelemässä menettelyssä suurpetokannoille asetetaan minimitavoitteet, joiden ylittyessä suurpetoja voidaan </w:t>
      </w:r>
      <w:proofErr w:type="spellStart"/>
      <w:r w:rsidR="008F2FEA">
        <w:t>kannanhoidollisesti</w:t>
      </w:r>
      <w:proofErr w:type="spellEnd"/>
      <w:r w:rsidR="008F2FEA">
        <w:t xml:space="preserve"> metsästää. </w:t>
      </w:r>
      <w:r w:rsidR="00B31F9D">
        <w:t>Suu</w:t>
      </w:r>
      <w:r w:rsidR="009E6E17">
        <w:t>r</w:t>
      </w:r>
      <w:r w:rsidR="00B31F9D">
        <w:t xml:space="preserve">petopolitiikan perusteet on käsitelty Ruotsin eduskunnassa: </w:t>
      </w:r>
      <w:proofErr w:type="spellStart"/>
      <w:r w:rsidR="00B31F9D">
        <w:t>Regeringens</w:t>
      </w:r>
      <w:proofErr w:type="spellEnd"/>
      <w:r w:rsidR="00B31F9D">
        <w:t xml:space="preserve"> proposition 2012/13:191 En </w:t>
      </w:r>
      <w:proofErr w:type="spellStart"/>
      <w:r w:rsidR="00B31F9D">
        <w:t>håll</w:t>
      </w:r>
      <w:r w:rsidR="005A1356">
        <w:t>b</w:t>
      </w:r>
      <w:r w:rsidR="00B31F9D">
        <w:t>ar</w:t>
      </w:r>
      <w:proofErr w:type="spellEnd"/>
      <w:r w:rsidR="00B31F9D">
        <w:t xml:space="preserve"> </w:t>
      </w:r>
      <w:proofErr w:type="spellStart"/>
      <w:r w:rsidR="00B31F9D">
        <w:t>rovdjurspolitik</w:t>
      </w:r>
      <w:proofErr w:type="spellEnd"/>
      <w:r w:rsidR="00B31F9D">
        <w:t xml:space="preserve">, SOU 2011:37 </w:t>
      </w:r>
      <w:proofErr w:type="spellStart"/>
      <w:r w:rsidR="00B31F9D">
        <w:t>Rovdjurens</w:t>
      </w:r>
      <w:proofErr w:type="spellEnd"/>
      <w:r w:rsidR="00B31F9D">
        <w:t xml:space="preserve"> </w:t>
      </w:r>
      <w:proofErr w:type="spellStart"/>
      <w:r w:rsidR="00B31F9D">
        <w:t>bevarandestatus</w:t>
      </w:r>
      <w:proofErr w:type="spellEnd"/>
      <w:r w:rsidR="00B31F9D">
        <w:t xml:space="preserve">, SOU 2012:22 </w:t>
      </w:r>
      <w:proofErr w:type="spellStart"/>
      <w:r w:rsidR="00B31F9D">
        <w:t>Mål</w:t>
      </w:r>
      <w:proofErr w:type="spellEnd"/>
      <w:r w:rsidR="00B31F9D">
        <w:t xml:space="preserve"> för </w:t>
      </w:r>
      <w:proofErr w:type="spellStart"/>
      <w:r w:rsidR="00B31F9D">
        <w:t>rovdjuren</w:t>
      </w:r>
      <w:proofErr w:type="spellEnd"/>
      <w:r w:rsidR="00B31F9D">
        <w:t xml:space="preserve">, SOU 2013:60 </w:t>
      </w:r>
      <w:proofErr w:type="spellStart"/>
      <w:r w:rsidR="00B31F9D">
        <w:t>Åtgärder</w:t>
      </w:r>
      <w:proofErr w:type="spellEnd"/>
      <w:r w:rsidR="00B31F9D">
        <w:t xml:space="preserve"> för </w:t>
      </w:r>
      <w:proofErr w:type="spellStart"/>
      <w:r w:rsidR="00B31F9D">
        <w:t>samexistens</w:t>
      </w:r>
      <w:proofErr w:type="spellEnd"/>
      <w:r w:rsidR="00B31F9D">
        <w:t xml:space="preserve"> </w:t>
      </w:r>
      <w:proofErr w:type="spellStart"/>
      <w:r w:rsidR="00B31F9D">
        <w:t>mellan</w:t>
      </w:r>
      <w:proofErr w:type="spellEnd"/>
      <w:r w:rsidR="00B31F9D">
        <w:t xml:space="preserve"> </w:t>
      </w:r>
      <w:proofErr w:type="spellStart"/>
      <w:r w:rsidR="00B31F9D">
        <w:t>människa</w:t>
      </w:r>
      <w:proofErr w:type="spellEnd"/>
      <w:r w:rsidR="00B31F9D">
        <w:t xml:space="preserve"> </w:t>
      </w:r>
      <w:proofErr w:type="spellStart"/>
      <w:r w:rsidR="00B31F9D">
        <w:t>och</w:t>
      </w:r>
      <w:proofErr w:type="spellEnd"/>
      <w:r w:rsidR="00B31F9D">
        <w:t xml:space="preserve"> </w:t>
      </w:r>
      <w:proofErr w:type="spellStart"/>
      <w:r w:rsidR="00B31F9D">
        <w:t>varg</w:t>
      </w:r>
      <w:proofErr w:type="spellEnd"/>
      <w:r w:rsidR="00B31F9D">
        <w:t xml:space="preserve"> (liitteet A-C mukaan lukien) ja </w:t>
      </w:r>
      <w:proofErr w:type="spellStart"/>
      <w:r w:rsidR="00B31F9D">
        <w:t>Miljö</w:t>
      </w:r>
      <w:proofErr w:type="spellEnd"/>
      <w:r w:rsidR="00B31F9D">
        <w:t xml:space="preserve">- </w:t>
      </w:r>
      <w:proofErr w:type="spellStart"/>
      <w:r w:rsidR="00B31F9D">
        <w:t>och</w:t>
      </w:r>
      <w:proofErr w:type="spellEnd"/>
      <w:r w:rsidR="00B31F9D">
        <w:t xml:space="preserve"> </w:t>
      </w:r>
      <w:proofErr w:type="spellStart"/>
      <w:r w:rsidR="00B31F9D">
        <w:t>jordbruksutskottets</w:t>
      </w:r>
      <w:proofErr w:type="spellEnd"/>
      <w:r w:rsidR="00B31F9D">
        <w:t xml:space="preserve"> </w:t>
      </w:r>
      <w:proofErr w:type="spellStart"/>
      <w:r w:rsidR="00B31F9D">
        <w:t>betänkande</w:t>
      </w:r>
      <w:proofErr w:type="spellEnd"/>
      <w:r w:rsidR="00B31F9D">
        <w:t xml:space="preserve"> 2013/14:MJU7. Ruotsissa on Norjan tapaan lähtökohtana, että suurpetopopulaatiot tulee sovittaa </w:t>
      </w:r>
      <w:r w:rsidR="00AA168D">
        <w:t xml:space="preserve">kestävällä tavalla yhteen </w:t>
      </w:r>
      <w:r w:rsidR="00B31F9D">
        <w:t xml:space="preserve">yhteiskunnallisten ja taloudellisten </w:t>
      </w:r>
      <w:r w:rsidR="00AA168D">
        <w:t>vaatimusten kanssa</w:t>
      </w:r>
      <w:r w:rsidR="000925F7">
        <w:rPr>
          <w:rStyle w:val="Alaviitteenviite"/>
        </w:rPr>
        <w:footnoteReference w:id="10"/>
      </w:r>
      <w:r w:rsidR="00AA168D">
        <w:t>.</w:t>
      </w:r>
      <w:r w:rsidR="00B31F9D">
        <w:t xml:space="preserve"> </w:t>
      </w:r>
      <w:r w:rsidR="008F2FEA">
        <w:t xml:space="preserve"> </w:t>
      </w:r>
    </w:p>
    <w:p w14:paraId="1BE76C21" w14:textId="77777777" w:rsidR="00576517" w:rsidRDefault="00F4767C" w:rsidP="00BA666E">
      <w:pPr>
        <w:ind w:left="1304"/>
      </w:pPr>
      <w:r>
        <w:t>Suomessa suurpetopolitiikka on ajautunut kriisiin ja eri intressiryhmien kiivaaseen vastakkainasetteluun.</w:t>
      </w:r>
      <w:r w:rsidR="002551BA">
        <w:rPr>
          <w:rStyle w:val="Alaviitteenviite"/>
        </w:rPr>
        <w:footnoteReference w:id="11"/>
      </w:r>
      <w:r w:rsidR="002551BA">
        <w:t xml:space="preserve"> Ongelmat olisivat olleet vältettävissä, jos </w:t>
      </w:r>
      <w:r w:rsidR="00415CC9">
        <w:t>Suomessa olisi Norjan ja Ruotsin mallin mukaisesti kyetty huomioimaan suurpet</w:t>
      </w:r>
      <w:r w:rsidR="00E91793">
        <w:t xml:space="preserve">oja koskevissa päätöksissä </w:t>
      </w:r>
      <w:r w:rsidR="0034599C">
        <w:t>niiden</w:t>
      </w:r>
      <w:r w:rsidR="00E91793">
        <w:t xml:space="preserve"> yhteiskunnallinen ja taloudellinen kestävyys. </w:t>
      </w:r>
      <w:r w:rsidR="008376C6">
        <w:t xml:space="preserve">Se ei olisi ollut ristiriidassa suojeluvelvoitteen kanssa sillä Bernin sopimuksen pysyvä komitea näki jo vuonna 2008, että vahvistuvat </w:t>
      </w:r>
      <w:proofErr w:type="spellStart"/>
      <w:r w:rsidR="008376C6">
        <w:t>suurpetokannat</w:t>
      </w:r>
      <w:proofErr w:type="spellEnd"/>
      <w:r w:rsidR="008376C6">
        <w:t xml:space="preserve"> johtavat sosiaalisiin konflikteihin. </w:t>
      </w:r>
      <w:proofErr w:type="spellStart"/>
      <w:r w:rsidR="008376C6" w:rsidRPr="0020686B">
        <w:rPr>
          <w:lang w:val="en-US"/>
        </w:rPr>
        <w:t>Pysyvä</w:t>
      </w:r>
      <w:proofErr w:type="spellEnd"/>
      <w:r w:rsidR="008376C6" w:rsidRPr="0020686B">
        <w:rPr>
          <w:lang w:val="en-US"/>
        </w:rPr>
        <w:t xml:space="preserve"> </w:t>
      </w:r>
      <w:proofErr w:type="spellStart"/>
      <w:r w:rsidR="008376C6" w:rsidRPr="0020686B">
        <w:rPr>
          <w:lang w:val="en-US"/>
        </w:rPr>
        <w:t>komitea</w:t>
      </w:r>
      <w:proofErr w:type="spellEnd"/>
      <w:r w:rsidR="008376C6" w:rsidRPr="0020686B">
        <w:rPr>
          <w:lang w:val="en-US"/>
        </w:rPr>
        <w:t xml:space="preserve"> </w:t>
      </w:r>
      <w:proofErr w:type="spellStart"/>
      <w:r w:rsidR="008376C6" w:rsidRPr="0020686B">
        <w:rPr>
          <w:lang w:val="en-US"/>
        </w:rPr>
        <w:t>antoi</w:t>
      </w:r>
      <w:proofErr w:type="spellEnd"/>
      <w:r w:rsidR="008376C6" w:rsidRPr="0020686B">
        <w:rPr>
          <w:lang w:val="en-US"/>
        </w:rPr>
        <w:t xml:space="preserve"> </w:t>
      </w:r>
      <w:proofErr w:type="spellStart"/>
      <w:r w:rsidR="008A6706" w:rsidRPr="0020686B">
        <w:rPr>
          <w:lang w:val="en-US"/>
        </w:rPr>
        <w:t>suosituksen</w:t>
      </w:r>
      <w:proofErr w:type="spellEnd"/>
      <w:r w:rsidR="008A6706" w:rsidRPr="0020686B">
        <w:rPr>
          <w:lang w:val="en-US"/>
        </w:rPr>
        <w:t xml:space="preserve"> Recommendation No. 137 (2008) of the Standing Committee, adopted on 27 November 2008, on population level management of large carnivore populations, </w:t>
      </w:r>
      <w:proofErr w:type="spellStart"/>
      <w:r w:rsidR="008A6706" w:rsidRPr="0020686B">
        <w:rPr>
          <w:lang w:val="en-US"/>
        </w:rPr>
        <w:t>joka</w:t>
      </w:r>
      <w:proofErr w:type="spellEnd"/>
      <w:r w:rsidR="008A6706" w:rsidRPr="0020686B">
        <w:rPr>
          <w:lang w:val="en-US"/>
        </w:rPr>
        <w:t xml:space="preserve"> </w:t>
      </w:r>
      <w:proofErr w:type="spellStart"/>
      <w:r w:rsidR="008A6706" w:rsidRPr="0020686B">
        <w:rPr>
          <w:lang w:val="en-US"/>
        </w:rPr>
        <w:t>nojautui</w:t>
      </w:r>
      <w:proofErr w:type="spellEnd"/>
      <w:r w:rsidR="008A6706" w:rsidRPr="0020686B">
        <w:rPr>
          <w:lang w:val="en-US"/>
        </w:rPr>
        <w:t xml:space="preserve"> </w:t>
      </w:r>
      <w:proofErr w:type="spellStart"/>
      <w:r w:rsidR="00F12E2C">
        <w:rPr>
          <w:lang w:val="en-US"/>
        </w:rPr>
        <w:t>parhaaseen</w:t>
      </w:r>
      <w:proofErr w:type="spellEnd"/>
      <w:r w:rsidR="00F12E2C">
        <w:rPr>
          <w:lang w:val="en-US"/>
        </w:rPr>
        <w:t xml:space="preserve"> </w:t>
      </w:r>
      <w:proofErr w:type="spellStart"/>
      <w:r w:rsidR="00F12E2C">
        <w:rPr>
          <w:lang w:val="en-US"/>
        </w:rPr>
        <w:t>tieteelliseen</w:t>
      </w:r>
      <w:proofErr w:type="spellEnd"/>
      <w:r w:rsidR="00F12E2C">
        <w:rPr>
          <w:lang w:val="en-US"/>
        </w:rPr>
        <w:t xml:space="preserve"> </w:t>
      </w:r>
      <w:proofErr w:type="spellStart"/>
      <w:r w:rsidR="00F12E2C">
        <w:rPr>
          <w:lang w:val="en-US"/>
        </w:rPr>
        <w:t>asiantuntijuuteen</w:t>
      </w:r>
      <w:proofErr w:type="spellEnd"/>
      <w:r w:rsidR="00F12E2C">
        <w:rPr>
          <w:lang w:val="en-US"/>
        </w:rPr>
        <w:t xml:space="preserve"> </w:t>
      </w:r>
      <w:proofErr w:type="spellStart"/>
      <w:r w:rsidR="00402FA5">
        <w:rPr>
          <w:lang w:val="en-US"/>
        </w:rPr>
        <w:t>eli</w:t>
      </w:r>
      <w:proofErr w:type="spellEnd"/>
      <w:r w:rsidR="00402FA5">
        <w:rPr>
          <w:lang w:val="en-US"/>
        </w:rPr>
        <w:t xml:space="preserve"> </w:t>
      </w:r>
      <w:proofErr w:type="spellStart"/>
      <w:r w:rsidR="008A6706" w:rsidRPr="0020686B">
        <w:rPr>
          <w:lang w:val="en-US"/>
        </w:rPr>
        <w:t>pysyvän</w:t>
      </w:r>
      <w:proofErr w:type="spellEnd"/>
      <w:r w:rsidR="008A6706" w:rsidRPr="0020686B">
        <w:rPr>
          <w:lang w:val="en-US"/>
        </w:rPr>
        <w:t xml:space="preserve"> </w:t>
      </w:r>
      <w:proofErr w:type="spellStart"/>
      <w:r w:rsidR="008A6706" w:rsidRPr="0020686B">
        <w:rPr>
          <w:lang w:val="en-US"/>
        </w:rPr>
        <w:t>komitean</w:t>
      </w:r>
      <w:proofErr w:type="spellEnd"/>
      <w:r w:rsidR="008A6706" w:rsidRPr="0020686B">
        <w:rPr>
          <w:lang w:val="en-US"/>
        </w:rPr>
        <w:t xml:space="preserve"> </w:t>
      </w:r>
      <w:proofErr w:type="spellStart"/>
      <w:r w:rsidR="008A6706" w:rsidRPr="0020686B">
        <w:rPr>
          <w:lang w:val="en-US"/>
        </w:rPr>
        <w:t>suurpetoasiantuntijaryhmän</w:t>
      </w:r>
      <w:proofErr w:type="spellEnd"/>
      <w:r w:rsidR="008A6706" w:rsidRPr="0020686B">
        <w:rPr>
          <w:lang w:val="en-US"/>
        </w:rPr>
        <w:t xml:space="preserve"> </w:t>
      </w:r>
      <w:proofErr w:type="spellStart"/>
      <w:r w:rsidR="008A6706" w:rsidRPr="0020686B">
        <w:rPr>
          <w:lang w:val="en-US"/>
        </w:rPr>
        <w:t>suositukseen</w:t>
      </w:r>
      <w:proofErr w:type="spellEnd"/>
      <w:r w:rsidR="008A6706" w:rsidRPr="0020686B">
        <w:rPr>
          <w:lang w:val="en-US"/>
        </w:rPr>
        <w:t xml:space="preserve"> </w:t>
      </w:r>
      <w:r w:rsidR="00BA4D6A">
        <w:rPr>
          <w:lang w:val="en-US"/>
        </w:rPr>
        <w:t xml:space="preserve">Large Carnivore Initiative for Europe: </w:t>
      </w:r>
      <w:r w:rsidR="0020686B" w:rsidRPr="0020686B">
        <w:rPr>
          <w:lang w:val="en-US"/>
        </w:rPr>
        <w:t>Guidelines for</w:t>
      </w:r>
      <w:r w:rsidR="0020686B">
        <w:rPr>
          <w:lang w:val="en-US"/>
        </w:rPr>
        <w:t xml:space="preserve"> Population Level Management Plans for Large Carnivores</w:t>
      </w:r>
      <w:r w:rsidR="00A71BEF">
        <w:rPr>
          <w:lang w:val="en-US"/>
        </w:rPr>
        <w:t xml:space="preserve"> </w:t>
      </w:r>
      <w:r w:rsidR="00BA4D6A">
        <w:rPr>
          <w:lang w:val="en-US"/>
        </w:rPr>
        <w:lastRenderedPageBreak/>
        <w:t>1.7.2008.</w:t>
      </w:r>
      <w:r w:rsidR="001C6458">
        <w:rPr>
          <w:lang w:val="en-US"/>
        </w:rPr>
        <w:t xml:space="preserve"> </w:t>
      </w:r>
      <w:r w:rsidR="001C6458" w:rsidRPr="001C6458">
        <w:t>Suomen riistakeskuksen päätökset nojautuvat Norjassa ja Ruotsissa noudatettuun toimintalinjaan, j</w:t>
      </w:r>
      <w:r w:rsidR="001C6458">
        <w:t>oka perustuu pohjimmiltaan Bernin sopimukseen</w:t>
      </w:r>
      <w:r w:rsidR="0034599C">
        <w:t xml:space="preserve"> ja mainittuihin suosituksiin</w:t>
      </w:r>
      <w:r w:rsidR="001C6458">
        <w:t>, jo</w:t>
      </w:r>
      <w:r w:rsidR="0034599C">
        <w:t>i</w:t>
      </w:r>
      <w:r w:rsidR="001C6458">
        <w:t xml:space="preserve">ta Euroopan unionin luontodirektiivi (92/43/ETY) </w:t>
      </w:r>
      <w:r w:rsidR="00F85B7B">
        <w:t xml:space="preserve">edellä kerrotusti </w:t>
      </w:r>
      <w:r w:rsidR="001C6458">
        <w:t>panee täytäntöön.</w:t>
      </w:r>
    </w:p>
    <w:p w14:paraId="182BEF11" w14:textId="77777777" w:rsidR="006936FE" w:rsidRPr="00832553" w:rsidRDefault="006936FE" w:rsidP="00BA666E">
      <w:pPr>
        <w:ind w:left="1304"/>
      </w:pPr>
      <w:r>
        <w:t>Bernin sopimuksen pysyvä komitea on antanut useita suosituksia, jotka liittyvät ilvekseen</w:t>
      </w:r>
      <w:r w:rsidR="007A501B">
        <w:t xml:space="preserve">: </w:t>
      </w:r>
    </w:p>
    <w:p w14:paraId="687F1C6D" w14:textId="77777777" w:rsidR="002C7C4F" w:rsidRPr="007A501B" w:rsidRDefault="002C7C4F" w:rsidP="002C7C4F">
      <w:pPr>
        <w:ind w:left="1304"/>
        <w:rPr>
          <w:lang w:val="en-US"/>
        </w:rPr>
      </w:pPr>
      <w:proofErr w:type="gramStart"/>
      <w:r w:rsidRPr="007A501B">
        <w:rPr>
          <w:lang w:val="en-US"/>
        </w:rPr>
        <w:t>Rec(</w:t>
      </w:r>
      <w:proofErr w:type="gramEnd"/>
      <w:r w:rsidRPr="007A501B">
        <w:rPr>
          <w:lang w:val="en-US"/>
        </w:rPr>
        <w:t>1982)01</w:t>
      </w:r>
      <w:r w:rsidRPr="007A501B">
        <w:rPr>
          <w:lang w:val="en-US"/>
        </w:rPr>
        <w:tab/>
        <w:t xml:space="preserve">Recommendation No. 1 (1982) of the standing committee concerning the protection of the Gran </w:t>
      </w:r>
      <w:proofErr w:type="spellStart"/>
      <w:r w:rsidRPr="007A501B">
        <w:rPr>
          <w:lang w:val="en-US"/>
        </w:rPr>
        <w:t>Sasso</w:t>
      </w:r>
      <w:proofErr w:type="spellEnd"/>
      <w:r w:rsidRPr="007A501B">
        <w:rPr>
          <w:lang w:val="en-US"/>
        </w:rPr>
        <w:t xml:space="preserve"> (Italy)</w:t>
      </w:r>
    </w:p>
    <w:p w14:paraId="6F728176" w14:textId="77777777" w:rsidR="002C7C4F" w:rsidRPr="002C7C4F" w:rsidRDefault="002C7C4F" w:rsidP="002C7C4F">
      <w:pPr>
        <w:ind w:left="1304"/>
        <w:rPr>
          <w:lang w:val="en-US"/>
        </w:rPr>
      </w:pPr>
      <w:proofErr w:type="gramStart"/>
      <w:r w:rsidRPr="002C7C4F">
        <w:rPr>
          <w:lang w:val="en-US"/>
        </w:rPr>
        <w:t>Rec(</w:t>
      </w:r>
      <w:proofErr w:type="gramEnd"/>
      <w:r w:rsidRPr="002C7C4F">
        <w:rPr>
          <w:lang w:val="en-US"/>
        </w:rPr>
        <w:t>1991)19</w:t>
      </w:r>
      <w:r w:rsidRPr="002C7C4F">
        <w:rPr>
          <w:lang w:val="en-US"/>
        </w:rPr>
        <w:tab/>
        <w:t xml:space="preserve">Recommendation No. 19 (1991) on the protection of the </w:t>
      </w:r>
      <w:proofErr w:type="spellStart"/>
      <w:r w:rsidRPr="002C7C4F">
        <w:rPr>
          <w:lang w:val="en-US"/>
        </w:rPr>
        <w:t>pardel</w:t>
      </w:r>
      <w:proofErr w:type="spellEnd"/>
      <w:r w:rsidRPr="002C7C4F">
        <w:rPr>
          <w:lang w:val="en-US"/>
        </w:rPr>
        <w:t xml:space="preserve"> lynx (</w:t>
      </w:r>
      <w:r w:rsidRPr="00CF7F33">
        <w:rPr>
          <w:i/>
          <w:lang w:val="en-US"/>
        </w:rPr>
        <w:t xml:space="preserve">Lynx </w:t>
      </w:r>
      <w:proofErr w:type="spellStart"/>
      <w:r w:rsidRPr="00CF7F33">
        <w:rPr>
          <w:i/>
          <w:lang w:val="en-US"/>
        </w:rPr>
        <w:t>pardinus</w:t>
      </w:r>
      <w:proofErr w:type="spellEnd"/>
      <w:r w:rsidRPr="002C7C4F">
        <w:rPr>
          <w:lang w:val="en-US"/>
        </w:rPr>
        <w:t>) in the Iberian peninsula</w:t>
      </w:r>
    </w:p>
    <w:p w14:paraId="16DD77C4" w14:textId="77777777" w:rsidR="002C7C4F" w:rsidRPr="002C7C4F" w:rsidRDefault="002C7C4F" w:rsidP="002C7C4F">
      <w:pPr>
        <w:ind w:left="1304"/>
        <w:rPr>
          <w:lang w:val="en-US"/>
        </w:rPr>
      </w:pPr>
      <w:proofErr w:type="gramStart"/>
      <w:r w:rsidRPr="002C7C4F">
        <w:rPr>
          <w:lang w:val="en-US"/>
        </w:rPr>
        <w:t>Rec(</w:t>
      </w:r>
      <w:proofErr w:type="gramEnd"/>
      <w:r w:rsidRPr="002C7C4F">
        <w:rPr>
          <w:lang w:val="en-US"/>
        </w:rPr>
        <w:t>1991)20</w:t>
      </w:r>
      <w:r w:rsidRPr="002C7C4F">
        <w:rPr>
          <w:lang w:val="en-US"/>
        </w:rPr>
        <w:tab/>
        <w:t>Recommendation No. 20 (1991) on the protection of the European lynx (</w:t>
      </w:r>
      <w:r w:rsidRPr="00CF7F33">
        <w:rPr>
          <w:i/>
          <w:lang w:val="en-US"/>
        </w:rPr>
        <w:t>Lynx lynx</w:t>
      </w:r>
      <w:r w:rsidRPr="002C7C4F">
        <w:rPr>
          <w:lang w:val="en-US"/>
        </w:rPr>
        <w:t>)</w:t>
      </w:r>
    </w:p>
    <w:p w14:paraId="49486342" w14:textId="77777777" w:rsidR="002C7C4F" w:rsidRPr="002C7C4F" w:rsidRDefault="002C7C4F" w:rsidP="002C7C4F">
      <w:pPr>
        <w:ind w:left="1304"/>
        <w:rPr>
          <w:lang w:val="en-US"/>
        </w:rPr>
      </w:pPr>
      <w:proofErr w:type="gramStart"/>
      <w:r w:rsidRPr="002C7C4F">
        <w:rPr>
          <w:lang w:val="en-US"/>
        </w:rPr>
        <w:t>Rec(</w:t>
      </w:r>
      <w:proofErr w:type="gramEnd"/>
      <w:r w:rsidRPr="002C7C4F">
        <w:rPr>
          <w:lang w:val="en-US"/>
        </w:rPr>
        <w:t>1995)43</w:t>
      </w:r>
      <w:r w:rsidRPr="002C7C4F">
        <w:rPr>
          <w:lang w:val="en-US"/>
        </w:rPr>
        <w:tab/>
        <w:t>Recommendation No. 43 (1995) on the conservation of threatened mammals in Europe</w:t>
      </w:r>
    </w:p>
    <w:p w14:paraId="7914B8A2" w14:textId="77777777" w:rsidR="002C7C4F" w:rsidRPr="002C7C4F" w:rsidRDefault="002C7C4F" w:rsidP="002C7C4F">
      <w:pPr>
        <w:ind w:left="1304"/>
        <w:rPr>
          <w:lang w:val="en-US"/>
        </w:rPr>
      </w:pPr>
      <w:proofErr w:type="gramStart"/>
      <w:r w:rsidRPr="002C7C4F">
        <w:rPr>
          <w:lang w:val="en-US"/>
        </w:rPr>
        <w:t>Rec(</w:t>
      </w:r>
      <w:proofErr w:type="gramEnd"/>
      <w:r w:rsidRPr="002C7C4F">
        <w:rPr>
          <w:lang w:val="en-US"/>
        </w:rPr>
        <w:t>1999)74</w:t>
      </w:r>
      <w:r w:rsidRPr="002C7C4F">
        <w:rPr>
          <w:lang w:val="en-US"/>
        </w:rPr>
        <w:tab/>
        <w:t>Recommendation No. 74 (1999) on the conservation of large carnivores</w:t>
      </w:r>
    </w:p>
    <w:p w14:paraId="2AFC2101"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2000)82</w:t>
      </w:r>
      <w:r w:rsidRPr="006936FE">
        <w:rPr>
          <w:lang w:val="en-US"/>
        </w:rPr>
        <w:tab/>
        <w:t>Recommendation No. 82 (2000) of the Standing Committee on urgent measures concerning the implementation of action plans for large carnivores in Europe</w:t>
      </w:r>
    </w:p>
    <w:p w14:paraId="258AEA79"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2001)89</w:t>
      </w:r>
      <w:r w:rsidRPr="006936FE">
        <w:rPr>
          <w:lang w:val="en-US"/>
        </w:rPr>
        <w:tab/>
        <w:t>Recommendation No. 89 (2001) on the conservation of the European Lynx in the Alps</w:t>
      </w:r>
    </w:p>
    <w:p w14:paraId="5D51E5E4"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2002)94</w:t>
      </w:r>
      <w:r w:rsidRPr="006936FE">
        <w:rPr>
          <w:lang w:val="en-US"/>
        </w:rPr>
        <w:tab/>
        <w:t>Recommendation No. 94 (2002) on urgent measures for the conservation of the Iberian Lynx (</w:t>
      </w:r>
      <w:r w:rsidRPr="00CF7F33">
        <w:rPr>
          <w:i/>
          <w:lang w:val="en-US"/>
        </w:rPr>
        <w:t xml:space="preserve">Lynx </w:t>
      </w:r>
      <w:proofErr w:type="spellStart"/>
      <w:r w:rsidRPr="00CF7F33">
        <w:rPr>
          <w:i/>
          <w:lang w:val="en-US"/>
        </w:rPr>
        <w:t>pardinus</w:t>
      </w:r>
      <w:proofErr w:type="spellEnd"/>
      <w:r w:rsidRPr="006936FE">
        <w:rPr>
          <w:lang w:val="en-US"/>
        </w:rPr>
        <w:t>)</w:t>
      </w:r>
    </w:p>
    <w:p w14:paraId="29ED560A"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2003)100</w:t>
      </w:r>
      <w:r w:rsidRPr="006936FE">
        <w:rPr>
          <w:lang w:val="en-US"/>
        </w:rPr>
        <w:tab/>
        <w:t>Recommendation No. 100 (2003) on conservation of large carnivores in the Carpathians</w:t>
      </w:r>
    </w:p>
    <w:p w14:paraId="110A7AED"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2003)101</w:t>
      </w:r>
      <w:r w:rsidRPr="006936FE">
        <w:rPr>
          <w:lang w:val="en-US"/>
        </w:rPr>
        <w:tab/>
        <w:t>Recommendation No. 101 (2003) on the implementation of the Pan-Alpine Conservation Strategy for the Lynx (PACS)</w:t>
      </w:r>
    </w:p>
    <w:p w14:paraId="5A1A9FE7"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2003)107</w:t>
      </w:r>
      <w:r w:rsidRPr="006936FE">
        <w:rPr>
          <w:lang w:val="en-US"/>
        </w:rPr>
        <w:tab/>
        <w:t xml:space="preserve">Recommendation No. 107 (2003) on the </w:t>
      </w:r>
      <w:proofErr w:type="spellStart"/>
      <w:r w:rsidRPr="006936FE">
        <w:rPr>
          <w:lang w:val="en-US"/>
        </w:rPr>
        <w:t>Odelouca</w:t>
      </w:r>
      <w:proofErr w:type="spellEnd"/>
      <w:r w:rsidRPr="006936FE">
        <w:rPr>
          <w:lang w:val="en-US"/>
        </w:rPr>
        <w:t xml:space="preserve"> Dam (Portugal)</w:t>
      </w:r>
    </w:p>
    <w:p w14:paraId="4A753789"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2005)115</w:t>
      </w:r>
      <w:r w:rsidRPr="006936FE">
        <w:rPr>
          <w:lang w:val="en-US"/>
        </w:rPr>
        <w:tab/>
        <w:t>Recommendation No. 115 (2005) of the Standing Committee on the conservation and management of transboundary populations of large carnivores</w:t>
      </w:r>
    </w:p>
    <w:p w14:paraId="0DE05BB6"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2008)135</w:t>
      </w:r>
      <w:r w:rsidRPr="006936FE">
        <w:rPr>
          <w:lang w:val="en-US"/>
        </w:rPr>
        <w:tab/>
        <w:t>Recommendation No. 135 (2008) of the Standing Committee, adopted on 27 November 2008, on addressing the impacts of climate change on biodiversity</w:t>
      </w:r>
    </w:p>
    <w:p w14:paraId="732B1FE5"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2008)137</w:t>
      </w:r>
      <w:r w:rsidRPr="006936FE">
        <w:rPr>
          <w:lang w:val="en-US"/>
        </w:rPr>
        <w:tab/>
        <w:t>Recommendation No. 137 (2008) of the Standing Committee, adopted on 27 November 2008, on population level management of large carnivore populations</w:t>
      </w:r>
    </w:p>
    <w:p w14:paraId="587378AB"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2010)148</w:t>
      </w:r>
      <w:r w:rsidRPr="006936FE">
        <w:rPr>
          <w:lang w:val="en-US"/>
        </w:rPr>
        <w:tab/>
        <w:t>Recommendation No. 148 (2010) of the Standing Committee, adopted on 9 December 2010, on the conservation of large carnivores in the Caucasus</w:t>
      </w:r>
    </w:p>
    <w:p w14:paraId="60E92849"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2012)162</w:t>
      </w:r>
      <w:r w:rsidRPr="006936FE">
        <w:rPr>
          <w:lang w:val="en-US"/>
        </w:rPr>
        <w:tab/>
        <w:t>Recommendation No. 162 (2012) of the Standing Committee, adopted on 30 November 2012, on the conservation of large carnivores populations in Europe requesting special conservation action</w:t>
      </w:r>
    </w:p>
    <w:p w14:paraId="6BBB757F" w14:textId="77777777" w:rsidR="002C7C4F" w:rsidRPr="006936FE" w:rsidRDefault="002C7C4F" w:rsidP="002C7C4F">
      <w:pPr>
        <w:ind w:left="1304"/>
        <w:rPr>
          <w:lang w:val="en-US"/>
        </w:rPr>
      </w:pPr>
      <w:proofErr w:type="gramStart"/>
      <w:r w:rsidRPr="006936FE">
        <w:rPr>
          <w:lang w:val="en-US"/>
        </w:rPr>
        <w:lastRenderedPageBreak/>
        <w:t>Rec(</w:t>
      </w:r>
      <w:proofErr w:type="gramEnd"/>
      <w:r w:rsidRPr="006936FE">
        <w:rPr>
          <w:lang w:val="en-US"/>
        </w:rPr>
        <w:t>2014)172</w:t>
      </w:r>
      <w:r w:rsidRPr="006936FE">
        <w:rPr>
          <w:lang w:val="en-US"/>
        </w:rPr>
        <w:tab/>
        <w:t>Recommendation No. 172 (2014) of the Standing Committee, adopted on 5 December 2014, interpreting certain provisions of Resolution No. 6 (1998) of the Standing Committee to the Bern Convention</w:t>
      </w:r>
    </w:p>
    <w:p w14:paraId="11978871"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2015)175</w:t>
      </w:r>
      <w:r w:rsidRPr="006936FE">
        <w:rPr>
          <w:lang w:val="en-US"/>
        </w:rPr>
        <w:tab/>
        <w:t>Recommendation No. 175 (2015) of the Standing Committee, adopted on 4 December 2015, on the monitoring of the agreement concluded in the frame of complaint No. 2013/5 (Lithuania)</w:t>
      </w:r>
    </w:p>
    <w:p w14:paraId="7D5A21E7"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2015)184</w:t>
      </w:r>
      <w:r w:rsidRPr="006936FE">
        <w:rPr>
          <w:lang w:val="en-US"/>
        </w:rPr>
        <w:tab/>
        <w:t xml:space="preserve">Recommendation No. 184 (2015) of the Standing Committee to the Bern Convention, adopted on 4 December 2015, on the planned hydropower plants on the territory of the </w:t>
      </w:r>
      <w:proofErr w:type="spellStart"/>
      <w:r w:rsidRPr="006936FE">
        <w:rPr>
          <w:lang w:val="en-US"/>
        </w:rPr>
        <w:t>Mavrovo</w:t>
      </w:r>
      <w:proofErr w:type="spellEnd"/>
      <w:r w:rsidRPr="006936FE">
        <w:rPr>
          <w:lang w:val="en-US"/>
        </w:rPr>
        <w:t xml:space="preserve"> National Park (“the former Yugoslav Republic of Macedonia”) </w:t>
      </w:r>
    </w:p>
    <w:p w14:paraId="05D3865E"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2018)198</w:t>
      </w:r>
      <w:r w:rsidRPr="006936FE">
        <w:rPr>
          <w:lang w:val="en-US"/>
        </w:rPr>
        <w:tab/>
        <w:t>Recommendation No. 198 (2018) of the Standing Committee, adopted on 30 November 2018 on the use of artificial feeding as a management tool of large carnivore populations and their prey, with a particular emphasis on the brown bear</w:t>
      </w:r>
    </w:p>
    <w:p w14:paraId="1ED689E9" w14:textId="77777777" w:rsidR="002C7C4F" w:rsidRPr="006936FE" w:rsidRDefault="002C7C4F" w:rsidP="002C7C4F">
      <w:pPr>
        <w:ind w:left="1304"/>
        <w:rPr>
          <w:lang w:val="en-US"/>
        </w:rPr>
      </w:pPr>
      <w:proofErr w:type="gramStart"/>
      <w:r w:rsidRPr="006936FE">
        <w:rPr>
          <w:lang w:val="en-US"/>
        </w:rPr>
        <w:t>Rec(</w:t>
      </w:r>
      <w:proofErr w:type="gramEnd"/>
      <w:r w:rsidRPr="006936FE">
        <w:rPr>
          <w:lang w:val="en-US"/>
        </w:rPr>
        <w:t>2019)204</w:t>
      </w:r>
      <w:r w:rsidRPr="006936FE">
        <w:rPr>
          <w:lang w:val="en-US"/>
        </w:rPr>
        <w:tab/>
        <w:t>Recommendation No. 204 (2019) of the Standing Committee, adopted on 6 December 2019, on the Conservation of the Eurasian lynx (Lynx lynx) in Continental1 Europe</w:t>
      </w:r>
    </w:p>
    <w:p w14:paraId="2775673E" w14:textId="77777777" w:rsidR="00055745" w:rsidRPr="006936FE" w:rsidRDefault="002C7C4F" w:rsidP="002C7C4F">
      <w:pPr>
        <w:ind w:left="1304"/>
        <w:rPr>
          <w:lang w:val="en-US"/>
        </w:rPr>
      </w:pPr>
      <w:proofErr w:type="gramStart"/>
      <w:r w:rsidRPr="006936FE">
        <w:rPr>
          <w:lang w:val="en-US"/>
        </w:rPr>
        <w:t>Rec(</w:t>
      </w:r>
      <w:proofErr w:type="gramEnd"/>
      <w:r w:rsidRPr="006936FE">
        <w:rPr>
          <w:lang w:val="en-US"/>
        </w:rPr>
        <w:t>2021)211</w:t>
      </w:r>
      <w:r w:rsidRPr="006936FE">
        <w:rPr>
          <w:lang w:val="en-US"/>
        </w:rPr>
        <w:tab/>
        <w:t xml:space="preserve">Recommendation No. 211 (2021) of the Standing Committee, adopted on 3rd December 2021, on conservation measures within national parks in North Macedonia, including in relation to </w:t>
      </w:r>
      <w:proofErr w:type="spellStart"/>
      <w:r w:rsidRPr="006936FE">
        <w:rPr>
          <w:lang w:val="en-US"/>
        </w:rPr>
        <w:t>Mavrovo</w:t>
      </w:r>
      <w:proofErr w:type="spellEnd"/>
      <w:r w:rsidRPr="006936FE">
        <w:rPr>
          <w:lang w:val="en-US"/>
        </w:rPr>
        <w:t xml:space="preserve"> National Park and Lake </w:t>
      </w:r>
      <w:proofErr w:type="spellStart"/>
      <w:r w:rsidRPr="006936FE">
        <w:rPr>
          <w:lang w:val="en-US"/>
        </w:rPr>
        <w:t>Ohrid</w:t>
      </w:r>
      <w:proofErr w:type="spellEnd"/>
      <w:r w:rsidRPr="006936FE">
        <w:rPr>
          <w:lang w:val="en-US"/>
        </w:rPr>
        <w:t xml:space="preserve"> and </w:t>
      </w:r>
      <w:proofErr w:type="spellStart"/>
      <w:r w:rsidRPr="006936FE">
        <w:rPr>
          <w:lang w:val="en-US"/>
        </w:rPr>
        <w:t>Galichica</w:t>
      </w:r>
      <w:proofErr w:type="spellEnd"/>
      <w:r w:rsidRPr="006936FE">
        <w:rPr>
          <w:lang w:val="en-US"/>
        </w:rPr>
        <w:t xml:space="preserve"> National Park.</w:t>
      </w:r>
    </w:p>
    <w:p w14:paraId="5E0686D2" w14:textId="1B0DDCD0" w:rsidR="00DF0981" w:rsidRDefault="007A501B" w:rsidP="00214BAD">
      <w:pPr>
        <w:ind w:left="1304"/>
      </w:pPr>
      <w:r w:rsidRPr="007A501B">
        <w:t xml:space="preserve">Suosituksista voi vetää vastakkaisjohtopäätöksen, jonka mukaan Skandinavian alueen ilvespopulaatioiden tilannetta ei ole nähty </w:t>
      </w:r>
      <w:r w:rsidR="00A74E7A">
        <w:t xml:space="preserve">suojelulllisesti </w:t>
      </w:r>
      <w:r w:rsidRPr="007A501B">
        <w:t>huolestuttav</w:t>
      </w:r>
      <w:r>
        <w:t>a</w:t>
      </w:r>
      <w:r w:rsidRPr="007A501B">
        <w:t>na.</w:t>
      </w:r>
      <w:r w:rsidR="00943CB1">
        <w:t xml:space="preserve"> </w:t>
      </w:r>
      <w:r w:rsidR="00943CB1" w:rsidRPr="00943CB1">
        <w:t>Kannat ovat suotuisan suojelun ta</w:t>
      </w:r>
      <w:r w:rsidR="00943CB1">
        <w:t>solla.</w:t>
      </w:r>
      <w:r w:rsidRPr="00943CB1">
        <w:t xml:space="preserve"> </w:t>
      </w:r>
      <w:r w:rsidRPr="00EA36B9">
        <w:t>Skandinavian ilvespopulaatiot (</w:t>
      </w:r>
      <w:r w:rsidR="00CF7F33" w:rsidRPr="00EA36B9">
        <w:rPr>
          <w:i/>
        </w:rPr>
        <w:t>L</w:t>
      </w:r>
      <w:r w:rsidRPr="00EA36B9">
        <w:rPr>
          <w:i/>
        </w:rPr>
        <w:t xml:space="preserve">ynx </w:t>
      </w:r>
      <w:proofErr w:type="spellStart"/>
      <w:r w:rsidRPr="00EA36B9">
        <w:rPr>
          <w:i/>
        </w:rPr>
        <w:t>lynx</w:t>
      </w:r>
      <w:proofErr w:type="spellEnd"/>
      <w:r w:rsidRPr="00EA36B9">
        <w:t xml:space="preserve">) on rajattu pois mm. suosituksen </w:t>
      </w:r>
      <w:proofErr w:type="spellStart"/>
      <w:proofErr w:type="gramStart"/>
      <w:r w:rsidRPr="00EA36B9">
        <w:t>Rec</w:t>
      </w:r>
      <w:proofErr w:type="spellEnd"/>
      <w:r w:rsidRPr="00EA36B9">
        <w:t>(</w:t>
      </w:r>
      <w:proofErr w:type="gramEnd"/>
      <w:r w:rsidRPr="00EA36B9">
        <w:t>2019)204 --</w:t>
      </w:r>
      <w:r w:rsidR="00A74E7A" w:rsidRPr="00EA36B9">
        <w:t xml:space="preserve"> </w:t>
      </w:r>
      <w:proofErr w:type="spellStart"/>
      <w:r w:rsidRPr="00EA36B9">
        <w:t>Recommendation</w:t>
      </w:r>
      <w:proofErr w:type="spellEnd"/>
      <w:r w:rsidRPr="00EA36B9">
        <w:t xml:space="preserve"> No. 204 (2019) of </w:t>
      </w:r>
      <w:proofErr w:type="spellStart"/>
      <w:r w:rsidRPr="00EA36B9">
        <w:t>the</w:t>
      </w:r>
      <w:proofErr w:type="spellEnd"/>
      <w:r w:rsidRPr="00EA36B9">
        <w:t xml:space="preserve"> </w:t>
      </w:r>
      <w:proofErr w:type="spellStart"/>
      <w:r w:rsidRPr="00EA36B9">
        <w:t>Standing</w:t>
      </w:r>
      <w:proofErr w:type="spellEnd"/>
      <w:r w:rsidRPr="00EA36B9">
        <w:t xml:space="preserve"> </w:t>
      </w:r>
      <w:proofErr w:type="spellStart"/>
      <w:r w:rsidRPr="00EA36B9">
        <w:t>Committee</w:t>
      </w:r>
      <w:proofErr w:type="spellEnd"/>
      <w:r w:rsidRPr="00EA36B9">
        <w:t xml:space="preserve">, </w:t>
      </w:r>
      <w:proofErr w:type="spellStart"/>
      <w:r w:rsidRPr="00EA36B9">
        <w:t>adopted</w:t>
      </w:r>
      <w:proofErr w:type="spellEnd"/>
      <w:r w:rsidRPr="00EA36B9">
        <w:t xml:space="preserve"> on 6 </w:t>
      </w:r>
      <w:proofErr w:type="spellStart"/>
      <w:r w:rsidRPr="00EA36B9">
        <w:t>December</w:t>
      </w:r>
      <w:proofErr w:type="spellEnd"/>
      <w:r w:rsidRPr="00EA36B9">
        <w:t xml:space="preserve"> 2019, on </w:t>
      </w:r>
      <w:proofErr w:type="spellStart"/>
      <w:r w:rsidRPr="00EA36B9">
        <w:t>the</w:t>
      </w:r>
      <w:proofErr w:type="spellEnd"/>
      <w:r w:rsidRPr="00EA36B9">
        <w:t xml:space="preserve"> </w:t>
      </w:r>
      <w:proofErr w:type="spellStart"/>
      <w:r w:rsidRPr="00EA36B9">
        <w:t>Conservation</w:t>
      </w:r>
      <w:proofErr w:type="spellEnd"/>
      <w:r w:rsidRPr="00EA36B9">
        <w:t xml:space="preserve"> of </w:t>
      </w:r>
      <w:proofErr w:type="spellStart"/>
      <w:r w:rsidRPr="00EA36B9">
        <w:t>the</w:t>
      </w:r>
      <w:proofErr w:type="spellEnd"/>
      <w:r w:rsidRPr="00EA36B9">
        <w:t xml:space="preserve"> </w:t>
      </w:r>
      <w:proofErr w:type="spellStart"/>
      <w:r w:rsidRPr="00EA36B9">
        <w:t>Eurasian</w:t>
      </w:r>
      <w:proofErr w:type="spellEnd"/>
      <w:r w:rsidRPr="00EA36B9">
        <w:t xml:space="preserve"> </w:t>
      </w:r>
      <w:proofErr w:type="spellStart"/>
      <w:r w:rsidRPr="00EA36B9">
        <w:t>lynx</w:t>
      </w:r>
      <w:proofErr w:type="spellEnd"/>
      <w:r w:rsidRPr="00EA36B9">
        <w:t xml:space="preserve"> (</w:t>
      </w:r>
      <w:r w:rsidRPr="00EA36B9">
        <w:rPr>
          <w:i/>
        </w:rPr>
        <w:t xml:space="preserve">Lynx </w:t>
      </w:r>
      <w:proofErr w:type="spellStart"/>
      <w:r w:rsidRPr="00EA36B9">
        <w:rPr>
          <w:i/>
        </w:rPr>
        <w:t>lynx</w:t>
      </w:r>
      <w:proofErr w:type="spellEnd"/>
      <w:r w:rsidRPr="00EA36B9">
        <w:t xml:space="preserve">) in Continental Europe piiristä. </w:t>
      </w:r>
      <w:r w:rsidRPr="00A74E7A">
        <w:t>Suosituksessa on kyse manner Euroopan länsi</w:t>
      </w:r>
      <w:r w:rsidR="00A8760B">
        <w:noBreakHyphen/>
      </w:r>
      <w:r w:rsidRPr="00A74E7A">
        <w:t>, keski- ja eteläosista.</w:t>
      </w:r>
    </w:p>
    <w:p w14:paraId="3B6F0333" w14:textId="77777777" w:rsidR="00214BAD" w:rsidRDefault="00214BAD" w:rsidP="00214BAD">
      <w:pPr>
        <w:ind w:left="1304"/>
      </w:pPr>
      <w:r>
        <w:t xml:space="preserve">Suurin huoli on </w:t>
      </w:r>
      <w:r w:rsidR="004F2EB2">
        <w:t xml:space="preserve">mm. </w:t>
      </w:r>
      <w:proofErr w:type="spellStart"/>
      <w:r>
        <w:t>Iberian</w:t>
      </w:r>
      <w:proofErr w:type="spellEnd"/>
      <w:r>
        <w:t xml:space="preserve"> ilveksistä (</w:t>
      </w:r>
      <w:r w:rsidRPr="00CF7F33">
        <w:rPr>
          <w:i/>
        </w:rPr>
        <w:t xml:space="preserve">Lynx </w:t>
      </w:r>
      <w:proofErr w:type="spellStart"/>
      <w:r w:rsidRPr="00CF7F33">
        <w:rPr>
          <w:i/>
        </w:rPr>
        <w:t>pardinus</w:t>
      </w:r>
      <w:proofErr w:type="spellEnd"/>
      <w:r>
        <w:t xml:space="preserve">), </w:t>
      </w:r>
      <w:r w:rsidR="00EF0C99">
        <w:t xml:space="preserve">Turkin, </w:t>
      </w:r>
      <w:r w:rsidR="00945F7B">
        <w:t xml:space="preserve">Pyreneiden, </w:t>
      </w:r>
      <w:r>
        <w:t>Alppien, Karpaattien ja Kaukasuksen ilveksistä.</w:t>
      </w:r>
    </w:p>
    <w:p w14:paraId="2CDA9E5C" w14:textId="081F898E" w:rsidR="00A130D4" w:rsidRDefault="007C6079" w:rsidP="00214BAD">
      <w:pPr>
        <w:ind w:left="1304"/>
      </w:pPr>
      <w:r w:rsidRPr="007C6079">
        <w:t xml:space="preserve">Suosituksen </w:t>
      </w:r>
      <w:proofErr w:type="spellStart"/>
      <w:proofErr w:type="gramStart"/>
      <w:r w:rsidR="00A130D4" w:rsidRPr="007C6079">
        <w:t>Rec</w:t>
      </w:r>
      <w:proofErr w:type="spellEnd"/>
      <w:r w:rsidR="00A130D4" w:rsidRPr="007C6079">
        <w:t>(</w:t>
      </w:r>
      <w:proofErr w:type="gramEnd"/>
      <w:r w:rsidR="00A130D4" w:rsidRPr="007C6079">
        <w:t>2005)115</w:t>
      </w:r>
      <w:r w:rsidRPr="007C6079">
        <w:t xml:space="preserve"> -- </w:t>
      </w:r>
      <w:proofErr w:type="spellStart"/>
      <w:r w:rsidR="00A130D4" w:rsidRPr="007C6079">
        <w:t>Recommendation</w:t>
      </w:r>
      <w:proofErr w:type="spellEnd"/>
      <w:r w:rsidR="00A130D4" w:rsidRPr="007C6079">
        <w:t xml:space="preserve"> No. 115 (2005) of </w:t>
      </w:r>
      <w:proofErr w:type="spellStart"/>
      <w:r w:rsidR="00A130D4" w:rsidRPr="007C6079">
        <w:t>the</w:t>
      </w:r>
      <w:proofErr w:type="spellEnd"/>
      <w:r w:rsidR="00A130D4" w:rsidRPr="007C6079">
        <w:t xml:space="preserve"> </w:t>
      </w:r>
      <w:proofErr w:type="spellStart"/>
      <w:r w:rsidR="00A130D4" w:rsidRPr="007C6079">
        <w:t>Standing</w:t>
      </w:r>
      <w:proofErr w:type="spellEnd"/>
      <w:r w:rsidR="00A130D4" w:rsidRPr="007C6079">
        <w:t xml:space="preserve"> </w:t>
      </w:r>
      <w:proofErr w:type="spellStart"/>
      <w:r w:rsidR="00A130D4" w:rsidRPr="007C6079">
        <w:t>Committee</w:t>
      </w:r>
      <w:proofErr w:type="spellEnd"/>
      <w:r w:rsidR="00A130D4" w:rsidRPr="007C6079">
        <w:t xml:space="preserve"> on </w:t>
      </w:r>
      <w:proofErr w:type="spellStart"/>
      <w:r w:rsidR="00A130D4" w:rsidRPr="007C6079">
        <w:t>the</w:t>
      </w:r>
      <w:proofErr w:type="spellEnd"/>
      <w:r w:rsidR="00A130D4" w:rsidRPr="007C6079">
        <w:t xml:space="preserve"> </w:t>
      </w:r>
      <w:proofErr w:type="spellStart"/>
      <w:r w:rsidR="00A130D4" w:rsidRPr="007C6079">
        <w:t>conservation</w:t>
      </w:r>
      <w:proofErr w:type="spellEnd"/>
      <w:r w:rsidR="00A130D4" w:rsidRPr="007C6079">
        <w:t xml:space="preserve"> and management of </w:t>
      </w:r>
      <w:proofErr w:type="spellStart"/>
      <w:r w:rsidR="00A130D4" w:rsidRPr="007C6079">
        <w:t>transboundary</w:t>
      </w:r>
      <w:proofErr w:type="spellEnd"/>
      <w:r w:rsidR="00A130D4" w:rsidRPr="007C6079">
        <w:t xml:space="preserve"> </w:t>
      </w:r>
      <w:proofErr w:type="spellStart"/>
      <w:r w:rsidR="00A130D4" w:rsidRPr="007C6079">
        <w:t>populations</w:t>
      </w:r>
      <w:proofErr w:type="spellEnd"/>
      <w:r w:rsidR="00A130D4" w:rsidRPr="007C6079">
        <w:t xml:space="preserve"> of </w:t>
      </w:r>
      <w:proofErr w:type="spellStart"/>
      <w:r w:rsidR="00A130D4" w:rsidRPr="007C6079">
        <w:t>large</w:t>
      </w:r>
      <w:proofErr w:type="spellEnd"/>
      <w:r w:rsidR="00A130D4" w:rsidRPr="007C6079">
        <w:t xml:space="preserve"> </w:t>
      </w:r>
      <w:proofErr w:type="spellStart"/>
      <w:r w:rsidR="00A130D4" w:rsidRPr="007C6079">
        <w:t>carnivores</w:t>
      </w:r>
      <w:proofErr w:type="spellEnd"/>
      <w:r w:rsidRPr="007C6079">
        <w:t xml:space="preserve"> mukaan Norja, Ruotsi ja Suomi muodostavat oman yhteistyöalueen ilveksen suojelulle</w:t>
      </w:r>
      <w:r w:rsidR="00B1538F">
        <w:t>,</w:t>
      </w:r>
      <w:r w:rsidRPr="007C6079">
        <w:t xml:space="preserve"> ja</w:t>
      </w:r>
      <w:r>
        <w:t xml:space="preserve"> kuten edellä kerrottiin</w:t>
      </w:r>
      <w:r w:rsidR="00B1538F">
        <w:t>,</w:t>
      </w:r>
      <w:r>
        <w:t xml:space="preserve"> ilvestä metsästetään </w:t>
      </w:r>
      <w:proofErr w:type="spellStart"/>
      <w:r>
        <w:t>kannanhoidollisesti</w:t>
      </w:r>
      <w:proofErr w:type="spellEnd"/>
      <w:r>
        <w:t xml:space="preserve"> Norjassa ja Ruotsissa.</w:t>
      </w:r>
    </w:p>
    <w:p w14:paraId="3CECB81F" w14:textId="60604531" w:rsidR="00BA77AF" w:rsidRDefault="00BA77AF" w:rsidP="00214BAD">
      <w:pPr>
        <w:ind w:left="1304"/>
      </w:pPr>
    </w:p>
    <w:p w14:paraId="684B5106" w14:textId="4EF9357D" w:rsidR="00BA77AF" w:rsidRDefault="00BA77AF" w:rsidP="00214BAD">
      <w:pPr>
        <w:ind w:left="1304"/>
      </w:pPr>
      <w:r>
        <w:t>Yhteenveto</w:t>
      </w:r>
    </w:p>
    <w:p w14:paraId="049BCB17" w14:textId="77777777" w:rsidR="0087172E" w:rsidRDefault="006D3C51" w:rsidP="00214BAD">
      <w:pPr>
        <w:ind w:left="1304"/>
      </w:pPr>
      <w:r>
        <w:t>Edellä ei ole tarkoituksellisesti toistettu Suomen riistakeskuksen</w:t>
      </w:r>
      <w:r w:rsidR="00E92848">
        <w:t xml:space="preserve"> virka- ja selvittämisvastuullisena</w:t>
      </w:r>
      <w:r>
        <w:t xml:space="preserve"> lupaviranomaisena ratkaisulleen antamia hyvin yksityiskohtaisia </w:t>
      </w:r>
      <w:r w:rsidR="00E92848">
        <w:t xml:space="preserve">ja </w:t>
      </w:r>
      <w:r>
        <w:t xml:space="preserve">parhaaseen tieteelliseen tietoon ja </w:t>
      </w:r>
      <w:r w:rsidR="00E92848">
        <w:t>tarkkaan oikeudelliseen analyysiin</w:t>
      </w:r>
      <w:r>
        <w:t xml:space="preserve"> perustuvia perusteluja. </w:t>
      </w:r>
      <w:r w:rsidR="00854F9A">
        <w:t>Suomi on ympäristöministeriön ja maa- ja metsätalousministeriön toimesta ollut vuosikymmeniä mukana Bernin sopimuksen pysyvän komitean kokouksissa ja asianomaisissa ministeriöissä on merkittävää oikeudellista asiantuntemusta riistaeläinten kansainvälisestä sääntelystä.</w:t>
      </w:r>
      <w:r w:rsidR="0087172E">
        <w:t xml:space="preserve"> Kyseisten </w:t>
      </w:r>
      <w:r w:rsidR="0087172E">
        <w:lastRenderedPageBreak/>
        <w:t>ministeriöiden virkamiehillä on myös parhaat edellytykset suomalaisen ja kansainvälisen riistantutkimuksen hyödyntämiseen.</w:t>
      </w:r>
      <w:r w:rsidR="00FB58E4">
        <w:t xml:space="preserve"> </w:t>
      </w:r>
    </w:p>
    <w:p w14:paraId="4367445E" w14:textId="42CF3CC4" w:rsidR="006D3C51" w:rsidRDefault="00FB58E4" w:rsidP="00214BAD">
      <w:pPr>
        <w:ind w:left="1304"/>
      </w:pPr>
      <w:r>
        <w:t xml:space="preserve">Bernin sopimusta koskeva soveltamistoiminta on myös avointa merkittäville ympäristöjärjestöille (NGO = </w:t>
      </w:r>
      <w:r w:rsidRPr="00FB58E4">
        <w:t>non-</w:t>
      </w:r>
      <w:proofErr w:type="spellStart"/>
      <w:r w:rsidRPr="00FB58E4">
        <w:t>governmental</w:t>
      </w:r>
      <w:proofErr w:type="spellEnd"/>
      <w:r w:rsidRPr="00FB58E4">
        <w:t xml:space="preserve"> </w:t>
      </w:r>
      <w:proofErr w:type="spellStart"/>
      <w:r w:rsidRPr="00FB58E4">
        <w:t>organization</w:t>
      </w:r>
      <w:proofErr w:type="spellEnd"/>
      <w:r>
        <w:t>)</w:t>
      </w:r>
      <w:r w:rsidR="005507C2">
        <w:t>, joiden asiantuntemus</w:t>
      </w:r>
      <w:r w:rsidR="008547B4">
        <w:t>ta</w:t>
      </w:r>
      <w:r w:rsidR="005507C2">
        <w:t xml:space="preserve"> suojeluasioissa on </w:t>
      </w:r>
      <w:r w:rsidR="008547B4">
        <w:t>hyödynnetty (IUCN ja LCIE)</w:t>
      </w:r>
      <w:r>
        <w:t>.</w:t>
      </w:r>
      <w:r w:rsidR="005507C2">
        <w:t xml:space="preserve"> </w:t>
      </w:r>
      <w:r w:rsidR="00A90651">
        <w:t xml:space="preserve">Suomessa valituksia tehtailevilla tahoilla ei </w:t>
      </w:r>
      <w:r w:rsidR="00C76619">
        <w:t xml:space="preserve">käytännössä ole mitään liittymäkohtaa </w:t>
      </w:r>
      <w:r w:rsidR="00365530">
        <w:t xml:space="preserve">parasta tieteellistä tietoa hyödyntävään </w:t>
      </w:r>
      <w:r w:rsidR="00A3767E">
        <w:t xml:space="preserve">ja </w:t>
      </w:r>
      <w:r w:rsidR="00C76619">
        <w:t>oikeusvaltiollisia periaatteita noudattavaan luonno</w:t>
      </w:r>
      <w:r w:rsidR="008547B4">
        <w:t>n</w:t>
      </w:r>
      <w:r w:rsidR="00C76619">
        <w:t>suojeluun.</w:t>
      </w:r>
      <w:r>
        <w:t xml:space="preserve"> </w:t>
      </w:r>
      <w:r w:rsidR="00854F9A">
        <w:t xml:space="preserve"> </w:t>
      </w:r>
    </w:p>
    <w:p w14:paraId="4985D546" w14:textId="5C1A0F6A" w:rsidR="00BA77AF" w:rsidRDefault="007A3B1F" w:rsidP="00214BAD">
      <w:pPr>
        <w:ind w:left="1304"/>
      </w:pPr>
      <w:r>
        <w:t xml:space="preserve">Euroopan unionin luontodirektiivi (92/43/ETY), Euroopan unionin tuomioistuimen kannanotot ja komission ohjekirja ovat sekundäärimateriaalia Bernin sopimuksen täytäntöönpanossa. Mikäli lainsoveltaja ei hyödynnä Bernin sopimusta ja noudata Wienin sopimuksen </w:t>
      </w:r>
      <w:r w:rsidR="008547B4">
        <w:t>määräyksiä</w:t>
      </w:r>
      <w:r>
        <w:t xml:space="preserve"> valtiosopimusten tulkinnassa, hänellä on käytössään ”rikkinäinen puhelin”.  </w:t>
      </w:r>
      <w:r w:rsidR="002F004E">
        <w:t>Lopputulos voi poiketa huomattavasti maittain, vaikka maita koskisi</w:t>
      </w:r>
      <w:r w:rsidR="008547B4">
        <w:t>vat</w:t>
      </w:r>
      <w:r w:rsidR="002F004E">
        <w:t xml:space="preserve"> samat säännöt ja ne kuuluisivat suojelullisesti samaa</w:t>
      </w:r>
      <w:r w:rsidR="00C2566B">
        <w:t>n</w:t>
      </w:r>
      <w:r w:rsidR="002F004E">
        <w:t xml:space="preserve"> yhteiseen alueeseen.</w:t>
      </w:r>
      <w:r w:rsidR="00C3208C">
        <w:t xml:space="preserve"> </w:t>
      </w:r>
    </w:p>
    <w:p w14:paraId="59F9F94D" w14:textId="77777777" w:rsidR="009E60B6" w:rsidRDefault="009E60B6" w:rsidP="00214BAD">
      <w:pPr>
        <w:ind w:left="1304"/>
      </w:pPr>
    </w:p>
    <w:p w14:paraId="65DDDC8E" w14:textId="77777777" w:rsidR="00C87DD3" w:rsidRPr="007C6079" w:rsidRDefault="00C87DD3" w:rsidP="00214BAD">
      <w:pPr>
        <w:ind w:left="1304"/>
      </w:pPr>
      <w:r w:rsidRPr="00830851">
        <w:rPr>
          <w:highlight w:val="yellow"/>
        </w:rPr>
        <w:t>Allekirjoitus</w:t>
      </w:r>
    </w:p>
    <w:sectPr w:rsidR="00C87DD3" w:rsidRPr="007C6079" w:rsidSect="00B20AC3">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A050" w14:textId="77777777" w:rsidR="007D662C" w:rsidRDefault="007D662C" w:rsidP="00132CA1">
      <w:pPr>
        <w:spacing w:after="0" w:line="240" w:lineRule="auto"/>
      </w:pPr>
      <w:r>
        <w:separator/>
      </w:r>
    </w:p>
  </w:endnote>
  <w:endnote w:type="continuationSeparator" w:id="0">
    <w:p w14:paraId="1412C966" w14:textId="77777777" w:rsidR="007D662C" w:rsidRDefault="007D662C" w:rsidP="0013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295B" w14:textId="77777777" w:rsidR="007D662C" w:rsidRDefault="007D662C" w:rsidP="00132CA1">
      <w:pPr>
        <w:spacing w:after="0" w:line="240" w:lineRule="auto"/>
      </w:pPr>
      <w:r>
        <w:separator/>
      </w:r>
    </w:p>
  </w:footnote>
  <w:footnote w:type="continuationSeparator" w:id="0">
    <w:p w14:paraId="30D1483A" w14:textId="77777777" w:rsidR="007D662C" w:rsidRDefault="007D662C" w:rsidP="00132CA1">
      <w:pPr>
        <w:spacing w:after="0" w:line="240" w:lineRule="auto"/>
      </w:pPr>
      <w:r>
        <w:continuationSeparator/>
      </w:r>
    </w:p>
  </w:footnote>
  <w:footnote w:id="1">
    <w:p w14:paraId="0E6A8353" w14:textId="77777777" w:rsidR="007F553D" w:rsidRPr="007F553D" w:rsidRDefault="007F553D" w:rsidP="007F553D">
      <w:pPr>
        <w:pStyle w:val="Alaviitteenteksti"/>
        <w:ind w:left="1304"/>
      </w:pPr>
      <w:r>
        <w:rPr>
          <w:rStyle w:val="Alaviitteenviite"/>
        </w:rPr>
        <w:footnoteRef/>
      </w:r>
      <w:r w:rsidRPr="007F553D">
        <w:t xml:space="preserve"> Valtonen, M. </w:t>
      </w:r>
      <w:proofErr w:type="spellStart"/>
      <w:r w:rsidRPr="007F553D">
        <w:t>Herrero</w:t>
      </w:r>
      <w:proofErr w:type="spellEnd"/>
      <w:r w:rsidRPr="007F553D">
        <w:t xml:space="preserve">, A., Mäntyniemi S., Helle, I. &amp; </w:t>
      </w:r>
      <w:proofErr w:type="spellStart"/>
      <w:r w:rsidRPr="007F553D">
        <w:t>Holmala</w:t>
      </w:r>
      <w:proofErr w:type="spellEnd"/>
      <w:r w:rsidRPr="007F553D">
        <w:t xml:space="preserve">, K., 2023. </w:t>
      </w:r>
      <w:proofErr w:type="spellStart"/>
      <w:r w:rsidRPr="007F553D">
        <w:t>Ilveskanta</w:t>
      </w:r>
      <w:proofErr w:type="spellEnd"/>
      <w:r w:rsidRPr="007F553D">
        <w:t xml:space="preserve"> Suomessa</w:t>
      </w:r>
      <w:r>
        <w:t xml:space="preserve"> </w:t>
      </w:r>
      <w:r w:rsidRPr="007F553D">
        <w:t>2023. Luonnonvara- ja biotalouden tutkimus 55/2023. Luonnonvarakeskus. Helsinki. Kuva 8 s</w:t>
      </w:r>
      <w:r>
        <w:t>. 14.</w:t>
      </w:r>
    </w:p>
  </w:footnote>
  <w:footnote w:id="2">
    <w:p w14:paraId="273CCEC9" w14:textId="77777777" w:rsidR="00132CA1" w:rsidRPr="00D95256" w:rsidRDefault="00132CA1" w:rsidP="00BA666E">
      <w:pPr>
        <w:pStyle w:val="Alaviitteenteksti"/>
        <w:ind w:left="1304"/>
        <w:rPr>
          <w:lang w:val="en-US"/>
        </w:rPr>
      </w:pPr>
      <w:r>
        <w:rPr>
          <w:rStyle w:val="Alaviitteenviite"/>
        </w:rPr>
        <w:footnoteRef/>
      </w:r>
      <w:r w:rsidRPr="00D95256">
        <w:rPr>
          <w:lang w:val="en-US"/>
        </w:rPr>
        <w:t xml:space="preserve"> </w:t>
      </w:r>
      <w:r w:rsidR="00D95256" w:rsidRPr="00D95256">
        <w:rPr>
          <w:lang w:val="en-US"/>
        </w:rPr>
        <w:t xml:space="preserve">Economic and Social Committee Opinion on the proposal for a Council Directive on the protection of natural and seminatural habitats and of wild fauna and flora and on the Supplementary </w:t>
      </w:r>
      <w:proofErr w:type="gramStart"/>
      <w:r w:rsidR="00D95256" w:rsidRPr="00D95256">
        <w:rPr>
          <w:lang w:val="en-US"/>
        </w:rPr>
        <w:t>Annexes  (</w:t>
      </w:r>
      <w:proofErr w:type="gramEnd"/>
      <w:r w:rsidR="00D95256" w:rsidRPr="00D95256">
        <w:rPr>
          <w:lang w:val="en-US"/>
        </w:rPr>
        <w:t xml:space="preserve">91/C 31/01) 1.2i </w:t>
      </w:r>
      <w:proofErr w:type="spellStart"/>
      <w:r w:rsidR="00D95256" w:rsidRPr="00D95256">
        <w:rPr>
          <w:lang w:val="en-US"/>
        </w:rPr>
        <w:t>kohta</w:t>
      </w:r>
      <w:proofErr w:type="spellEnd"/>
      <w:r w:rsidR="00D95256">
        <w:rPr>
          <w:lang w:val="en-US"/>
        </w:rPr>
        <w:t xml:space="preserve"> ja </w:t>
      </w:r>
      <w:r w:rsidR="00D95256" w:rsidRPr="00D95256">
        <w:rPr>
          <w:lang w:val="en-US"/>
        </w:rPr>
        <w:t xml:space="preserve">Council of Europe Explanatory Report to the Convention on the Conservation of European Wildlife and Natural Habitats Bern, 19.IX.1979 64. </w:t>
      </w:r>
      <w:proofErr w:type="spellStart"/>
      <w:r w:rsidR="00D95256" w:rsidRPr="00D95256">
        <w:rPr>
          <w:lang w:val="en-US"/>
        </w:rPr>
        <w:t>kohta</w:t>
      </w:r>
      <w:proofErr w:type="spellEnd"/>
      <w:r w:rsidR="00D95256" w:rsidRPr="00D95256">
        <w:rPr>
          <w:lang w:val="en-US"/>
        </w:rPr>
        <w:t>.</w:t>
      </w:r>
    </w:p>
  </w:footnote>
  <w:footnote w:id="3">
    <w:p w14:paraId="62D5C15F" w14:textId="77777777" w:rsidR="00D95256" w:rsidRPr="00D95256" w:rsidRDefault="00D95256" w:rsidP="00BA666E">
      <w:pPr>
        <w:pStyle w:val="Alaviitteenteksti"/>
        <w:ind w:left="1304"/>
        <w:rPr>
          <w:lang w:val="en-US"/>
        </w:rPr>
      </w:pPr>
      <w:r>
        <w:rPr>
          <w:rStyle w:val="Alaviitteenviite"/>
        </w:rPr>
        <w:footnoteRef/>
      </w:r>
      <w:r w:rsidRPr="00D95256">
        <w:rPr>
          <w:lang w:val="en-US"/>
        </w:rPr>
        <w:t xml:space="preserve"> Koester, </w:t>
      </w:r>
      <w:proofErr w:type="spellStart"/>
      <w:r w:rsidRPr="00D95256">
        <w:rPr>
          <w:lang w:val="en-US"/>
        </w:rPr>
        <w:t>Veit</w:t>
      </w:r>
      <w:proofErr w:type="spellEnd"/>
      <w:r w:rsidRPr="00D95256">
        <w:rPr>
          <w:lang w:val="en-US"/>
        </w:rPr>
        <w:t xml:space="preserve">: Pacta sunt </w:t>
      </w:r>
      <w:proofErr w:type="spellStart"/>
      <w:r w:rsidRPr="00D95256">
        <w:rPr>
          <w:lang w:val="en-US"/>
        </w:rPr>
        <w:t>servanda</w:t>
      </w:r>
      <w:proofErr w:type="spellEnd"/>
      <w:r w:rsidRPr="00D95256">
        <w:rPr>
          <w:lang w:val="en-US"/>
        </w:rPr>
        <w:t>. Environmental Policy and Law. 1996. S. 78-91.</w:t>
      </w:r>
    </w:p>
  </w:footnote>
  <w:footnote w:id="4">
    <w:p w14:paraId="3D6836DF" w14:textId="77777777" w:rsidR="00DF0981" w:rsidRPr="00832553" w:rsidRDefault="00DF0981" w:rsidP="00BA666E">
      <w:pPr>
        <w:pStyle w:val="Alaviitteenteksti"/>
        <w:ind w:left="1304"/>
        <w:rPr>
          <w:lang w:val="en-US"/>
        </w:rPr>
      </w:pPr>
      <w:r>
        <w:rPr>
          <w:rStyle w:val="Alaviitteenviite"/>
        </w:rPr>
        <w:footnoteRef/>
      </w:r>
      <w:r w:rsidRPr="00DF0981">
        <w:rPr>
          <w:lang w:val="en-US"/>
        </w:rPr>
        <w:t xml:space="preserve"> Koester, </w:t>
      </w:r>
      <w:proofErr w:type="spellStart"/>
      <w:r w:rsidRPr="00DF0981">
        <w:rPr>
          <w:lang w:val="en-US"/>
        </w:rPr>
        <w:t>Veit</w:t>
      </w:r>
      <w:proofErr w:type="spellEnd"/>
      <w:r w:rsidRPr="00DF0981">
        <w:rPr>
          <w:lang w:val="en-US"/>
        </w:rPr>
        <w:t xml:space="preserve">: The Bern Convention and I. </w:t>
      </w:r>
      <w:proofErr w:type="spellStart"/>
      <w:r w:rsidRPr="00DF0981">
        <w:rPr>
          <w:lang w:val="en-US"/>
        </w:rPr>
        <w:t>Naturopa</w:t>
      </w:r>
      <w:proofErr w:type="spellEnd"/>
      <w:r w:rsidRPr="00DF0981">
        <w:rPr>
          <w:lang w:val="en-US"/>
        </w:rPr>
        <w:t xml:space="preserve">. Strasbourg: Centre </w:t>
      </w:r>
      <w:proofErr w:type="spellStart"/>
      <w:r w:rsidRPr="00DF0981">
        <w:rPr>
          <w:lang w:val="en-US"/>
        </w:rPr>
        <w:t>Naturopa</w:t>
      </w:r>
      <w:proofErr w:type="spellEnd"/>
      <w:r w:rsidRPr="00DF0981">
        <w:rPr>
          <w:lang w:val="en-US"/>
        </w:rPr>
        <w:t xml:space="preserve"> of the Council of Europe, 2014. </w:t>
      </w:r>
      <w:r w:rsidRPr="00832553">
        <w:rPr>
          <w:lang w:val="en-US"/>
        </w:rPr>
        <w:t>N:o 101, s. 5. E-ISSN 0250-7072.</w:t>
      </w:r>
    </w:p>
  </w:footnote>
  <w:footnote w:id="5">
    <w:p w14:paraId="620DEF49" w14:textId="77777777" w:rsidR="003702BE" w:rsidRPr="00773CC2" w:rsidRDefault="003702BE" w:rsidP="005E45ED">
      <w:pPr>
        <w:pStyle w:val="Alaviitteenteksti"/>
        <w:ind w:left="1304"/>
      </w:pPr>
      <w:r>
        <w:rPr>
          <w:rStyle w:val="Alaviitteenviite"/>
        </w:rPr>
        <w:footnoteRef/>
      </w:r>
      <w:r w:rsidRPr="003702BE">
        <w:rPr>
          <w:lang w:val="en-US"/>
        </w:rPr>
        <w:t xml:space="preserve"> </w:t>
      </w:r>
      <w:proofErr w:type="spellStart"/>
      <w:r w:rsidR="005E45ED" w:rsidRPr="005E45ED">
        <w:rPr>
          <w:lang w:val="en-US"/>
        </w:rPr>
        <w:t>Krämer</w:t>
      </w:r>
      <w:proofErr w:type="spellEnd"/>
      <w:r w:rsidR="005E45ED" w:rsidRPr="005E45ED">
        <w:rPr>
          <w:lang w:val="en-US"/>
        </w:rPr>
        <w:t xml:space="preserve">, Ludwig: Community law. </w:t>
      </w:r>
      <w:proofErr w:type="spellStart"/>
      <w:r w:rsidR="005E45ED" w:rsidRPr="005E45ED">
        <w:rPr>
          <w:lang w:val="en-US"/>
        </w:rPr>
        <w:t>Naturopa</w:t>
      </w:r>
      <w:proofErr w:type="spellEnd"/>
      <w:r w:rsidR="005E45ED" w:rsidRPr="005E45ED">
        <w:rPr>
          <w:lang w:val="en-US"/>
        </w:rPr>
        <w:t xml:space="preserve">. Strasbourg: Centre </w:t>
      </w:r>
      <w:proofErr w:type="spellStart"/>
      <w:r w:rsidR="005E45ED" w:rsidRPr="005E45ED">
        <w:rPr>
          <w:lang w:val="en-US"/>
        </w:rPr>
        <w:t>Naturopa</w:t>
      </w:r>
      <w:proofErr w:type="spellEnd"/>
      <w:r w:rsidR="005E45ED" w:rsidRPr="005E45ED">
        <w:rPr>
          <w:lang w:val="en-US"/>
        </w:rPr>
        <w:t xml:space="preserve"> of the Council of Europe, 1995. </w:t>
      </w:r>
      <w:r w:rsidR="005E45ED" w:rsidRPr="00830851">
        <w:t>N:o 77, s. 8. E-ISSN 0250-7072.</w:t>
      </w:r>
      <w:r w:rsidR="00773CC2" w:rsidRPr="00830851">
        <w:t xml:space="preserve"> </w:t>
      </w:r>
      <w:proofErr w:type="spellStart"/>
      <w:r w:rsidR="00773CC2" w:rsidRPr="00773CC2">
        <w:t>Krämer’llä</w:t>
      </w:r>
      <w:proofErr w:type="spellEnd"/>
      <w:r w:rsidR="00773CC2" w:rsidRPr="00773CC2">
        <w:t xml:space="preserve"> lienee ajatusvirhe tekstissä eli hän tarkoittanee lintudirektiiviä (ja </w:t>
      </w:r>
      <w:r w:rsidR="00E2412B">
        <w:t xml:space="preserve">tekstiin kirjoitetusti </w:t>
      </w:r>
      <w:r w:rsidR="00773CC2" w:rsidRPr="00773CC2">
        <w:t>lu</w:t>
      </w:r>
      <w:r w:rsidR="00773CC2">
        <w:t>ontodirektiiviä)</w:t>
      </w:r>
      <w:r w:rsidR="00773CC2" w:rsidRPr="00773CC2">
        <w:t>.</w:t>
      </w:r>
    </w:p>
  </w:footnote>
  <w:footnote w:id="6">
    <w:p w14:paraId="4BA1C166" w14:textId="77777777" w:rsidR="00BA666E" w:rsidRPr="00BA666E" w:rsidRDefault="00BA666E" w:rsidP="00BA666E">
      <w:pPr>
        <w:pStyle w:val="Alaviitteenteksti"/>
        <w:ind w:left="1304"/>
        <w:rPr>
          <w:lang w:val="en-US"/>
        </w:rPr>
      </w:pPr>
      <w:r>
        <w:rPr>
          <w:rStyle w:val="Alaviitteenviite"/>
        </w:rPr>
        <w:footnoteRef/>
      </w:r>
      <w:r w:rsidRPr="00BA666E">
        <w:rPr>
          <w:lang w:val="en-US"/>
        </w:rPr>
        <w:t xml:space="preserve"> Economic and Social Committee Opinion on the proposal for a Council Directive on the protection of natural and seminatural habitats and of wild fauna and flora and on the Supplementary </w:t>
      </w:r>
      <w:proofErr w:type="gramStart"/>
      <w:r w:rsidRPr="00BA666E">
        <w:rPr>
          <w:lang w:val="en-US"/>
        </w:rPr>
        <w:t>Annexes  (</w:t>
      </w:r>
      <w:proofErr w:type="gramEnd"/>
      <w:r w:rsidRPr="00BA666E">
        <w:rPr>
          <w:lang w:val="en-US"/>
        </w:rPr>
        <w:t xml:space="preserve">91/C 31/01) 1.2i </w:t>
      </w:r>
      <w:proofErr w:type="spellStart"/>
      <w:r w:rsidRPr="00BA666E">
        <w:rPr>
          <w:lang w:val="en-US"/>
        </w:rPr>
        <w:t>kohta</w:t>
      </w:r>
      <w:proofErr w:type="spellEnd"/>
    </w:p>
  </w:footnote>
  <w:footnote w:id="7">
    <w:p w14:paraId="178545E4" w14:textId="77777777" w:rsidR="001450AB" w:rsidRPr="00832553" w:rsidRDefault="001450AB" w:rsidP="001450AB">
      <w:pPr>
        <w:pStyle w:val="Alaviitteenteksti"/>
        <w:ind w:left="1304"/>
        <w:rPr>
          <w:lang w:val="en-US"/>
        </w:rPr>
      </w:pPr>
      <w:r>
        <w:rPr>
          <w:rStyle w:val="Alaviitteenviite"/>
        </w:rPr>
        <w:footnoteRef/>
      </w:r>
      <w:r w:rsidRPr="001450AB">
        <w:rPr>
          <w:lang w:val="en-US"/>
        </w:rPr>
        <w:t xml:space="preserve"> Krämer, Ludwig: Community law. </w:t>
      </w:r>
      <w:proofErr w:type="spellStart"/>
      <w:r w:rsidRPr="001450AB">
        <w:rPr>
          <w:lang w:val="en-US"/>
        </w:rPr>
        <w:t>Naturopa</w:t>
      </w:r>
      <w:proofErr w:type="spellEnd"/>
      <w:r w:rsidRPr="001450AB">
        <w:rPr>
          <w:lang w:val="en-US"/>
        </w:rPr>
        <w:t xml:space="preserve">. Strasbourg: Centre </w:t>
      </w:r>
      <w:proofErr w:type="spellStart"/>
      <w:r w:rsidRPr="001450AB">
        <w:rPr>
          <w:lang w:val="en-US"/>
        </w:rPr>
        <w:t>Naturopa</w:t>
      </w:r>
      <w:proofErr w:type="spellEnd"/>
      <w:r w:rsidRPr="001450AB">
        <w:rPr>
          <w:lang w:val="en-US"/>
        </w:rPr>
        <w:t xml:space="preserve"> of the Council of Europe, 1995. </w:t>
      </w:r>
      <w:r w:rsidRPr="00832553">
        <w:rPr>
          <w:lang w:val="en-US"/>
        </w:rPr>
        <w:t>N:o 77, s. 8. E-ISSN 0250-7072.</w:t>
      </w:r>
    </w:p>
  </w:footnote>
  <w:footnote w:id="8">
    <w:p w14:paraId="6ED6FB84" w14:textId="77777777" w:rsidR="001A6694" w:rsidRPr="00832553" w:rsidRDefault="001A6694" w:rsidP="001A6694">
      <w:pPr>
        <w:pStyle w:val="Alaviitteenteksti"/>
        <w:ind w:left="1304"/>
        <w:rPr>
          <w:lang w:val="en-US"/>
        </w:rPr>
      </w:pPr>
      <w:r>
        <w:rPr>
          <w:rStyle w:val="Alaviitteenviite"/>
        </w:rPr>
        <w:footnoteRef/>
      </w:r>
      <w:r w:rsidRPr="00832553">
        <w:rPr>
          <w:lang w:val="en-US"/>
        </w:rPr>
        <w:t xml:space="preserve"> PeVL 1994/14 ja PeVL 2001/38.</w:t>
      </w:r>
    </w:p>
  </w:footnote>
  <w:footnote w:id="9">
    <w:p w14:paraId="487BDFED" w14:textId="77777777" w:rsidR="00E14581" w:rsidRPr="00832553" w:rsidRDefault="00E14581" w:rsidP="00E14581">
      <w:pPr>
        <w:pStyle w:val="Alaviitteenteksti"/>
        <w:ind w:left="1304"/>
      </w:pPr>
      <w:r>
        <w:rPr>
          <w:rStyle w:val="Alaviitteenviite"/>
        </w:rPr>
        <w:footnoteRef/>
      </w:r>
      <w:r w:rsidRPr="00E14581">
        <w:rPr>
          <w:lang w:val="en-US"/>
        </w:rPr>
        <w:t xml:space="preserve"> CONVENTION ON THE CONSERVATION OF EUROPEAN WILDLIFE AND NATURAL HABITATS Standing Committee Meeting of the Bureau Strasbourg, 13 September 2010.</w:t>
      </w:r>
      <w:r>
        <w:rPr>
          <w:lang w:val="en-US"/>
        </w:rPr>
        <w:t xml:space="preserve"> </w:t>
      </w:r>
      <w:r w:rsidRPr="00832553">
        <w:t>T-PVS (2010) 16 s. 13-14.</w:t>
      </w:r>
    </w:p>
  </w:footnote>
  <w:footnote w:id="10">
    <w:p w14:paraId="534A735E" w14:textId="77777777" w:rsidR="000925F7" w:rsidRDefault="000925F7" w:rsidP="000925F7">
      <w:pPr>
        <w:pStyle w:val="Alaviitteenteksti"/>
        <w:ind w:left="1304"/>
      </w:pPr>
      <w:r>
        <w:rPr>
          <w:rStyle w:val="Alaviitteenviite"/>
        </w:rPr>
        <w:footnoteRef/>
      </w:r>
      <w:r>
        <w:t xml:space="preserve"> Katso erityisesti </w:t>
      </w:r>
      <w:r w:rsidRPr="000925F7">
        <w:t xml:space="preserve">SOU 2013:60 </w:t>
      </w:r>
      <w:proofErr w:type="spellStart"/>
      <w:r w:rsidRPr="000925F7">
        <w:t>Åtgärder</w:t>
      </w:r>
      <w:proofErr w:type="spellEnd"/>
      <w:r w:rsidRPr="000925F7">
        <w:t xml:space="preserve"> för </w:t>
      </w:r>
      <w:proofErr w:type="spellStart"/>
      <w:r w:rsidRPr="000925F7">
        <w:t>samexistens</w:t>
      </w:r>
      <w:proofErr w:type="spellEnd"/>
      <w:r w:rsidRPr="000925F7">
        <w:t xml:space="preserve"> </w:t>
      </w:r>
      <w:proofErr w:type="spellStart"/>
      <w:r w:rsidRPr="000925F7">
        <w:t>mellan</w:t>
      </w:r>
      <w:proofErr w:type="spellEnd"/>
      <w:r w:rsidRPr="000925F7">
        <w:t xml:space="preserve"> </w:t>
      </w:r>
      <w:proofErr w:type="spellStart"/>
      <w:r w:rsidRPr="000925F7">
        <w:t>människa</w:t>
      </w:r>
      <w:proofErr w:type="spellEnd"/>
      <w:r w:rsidRPr="000925F7">
        <w:t xml:space="preserve"> </w:t>
      </w:r>
      <w:proofErr w:type="spellStart"/>
      <w:r w:rsidRPr="000925F7">
        <w:t>och</w:t>
      </w:r>
      <w:proofErr w:type="spellEnd"/>
      <w:r w:rsidRPr="000925F7">
        <w:t xml:space="preserve"> </w:t>
      </w:r>
      <w:proofErr w:type="spellStart"/>
      <w:r w:rsidRPr="000925F7">
        <w:t>varg</w:t>
      </w:r>
      <w:proofErr w:type="spellEnd"/>
      <w:r>
        <w:t>.</w:t>
      </w:r>
    </w:p>
  </w:footnote>
  <w:footnote w:id="11">
    <w:p w14:paraId="6A38C90B" w14:textId="77777777" w:rsidR="002551BA" w:rsidRDefault="002551BA" w:rsidP="002551BA">
      <w:pPr>
        <w:pStyle w:val="Alaviitteenteksti"/>
        <w:ind w:left="1304"/>
      </w:pPr>
      <w:r>
        <w:rPr>
          <w:rStyle w:val="Alaviitteenviite"/>
        </w:rPr>
        <w:footnoteRef/>
      </w:r>
      <w:r>
        <w:t xml:space="preserve"> Kuusiniemi, Kari: Vallanjako ja oikeusvaltion puolustaminen – puhe ylituomaripäivillä Helsingissä 7.12.2023.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1A9526D" w14:textId="77777777" w:rsidR="00B20AC3" w:rsidRPr="00B20AC3" w:rsidRDefault="00B20AC3" w:rsidP="00B8623F">
        <w:pPr>
          <w:pStyle w:val="Yltunniste"/>
          <w:jc w:val="right"/>
        </w:pPr>
        <w:r w:rsidRPr="00B20AC3">
          <w:rPr>
            <w:bCs/>
            <w:sz w:val="24"/>
            <w:szCs w:val="24"/>
          </w:rPr>
          <w:fldChar w:fldCharType="begin"/>
        </w:r>
        <w:r w:rsidRPr="00B20AC3">
          <w:rPr>
            <w:bCs/>
          </w:rPr>
          <w:instrText>PAGE</w:instrText>
        </w:r>
        <w:r w:rsidRPr="00B20AC3">
          <w:rPr>
            <w:bCs/>
            <w:sz w:val="24"/>
            <w:szCs w:val="24"/>
          </w:rPr>
          <w:fldChar w:fldCharType="separate"/>
        </w:r>
        <w:r w:rsidRPr="00B20AC3">
          <w:rPr>
            <w:bCs/>
          </w:rPr>
          <w:t>2</w:t>
        </w:r>
        <w:r w:rsidRPr="00B20AC3">
          <w:rPr>
            <w:bCs/>
            <w:sz w:val="24"/>
            <w:szCs w:val="24"/>
          </w:rPr>
          <w:fldChar w:fldCharType="end"/>
        </w:r>
        <w:r w:rsidRPr="00B20AC3">
          <w:rPr>
            <w:bCs/>
            <w:sz w:val="24"/>
            <w:szCs w:val="24"/>
          </w:rPr>
          <w:t>(</w:t>
        </w:r>
        <w:r w:rsidRPr="00B20AC3">
          <w:rPr>
            <w:bCs/>
            <w:sz w:val="24"/>
            <w:szCs w:val="24"/>
          </w:rPr>
          <w:fldChar w:fldCharType="begin"/>
        </w:r>
        <w:r w:rsidRPr="00B20AC3">
          <w:rPr>
            <w:bCs/>
          </w:rPr>
          <w:instrText>NUMPAGES</w:instrText>
        </w:r>
        <w:r w:rsidRPr="00B20AC3">
          <w:rPr>
            <w:bCs/>
            <w:sz w:val="24"/>
            <w:szCs w:val="24"/>
          </w:rPr>
          <w:fldChar w:fldCharType="separate"/>
        </w:r>
        <w:r w:rsidRPr="00B20AC3">
          <w:rPr>
            <w:bCs/>
          </w:rPr>
          <w:t>2</w:t>
        </w:r>
        <w:r w:rsidRPr="00B20AC3">
          <w:rPr>
            <w:bCs/>
            <w:sz w:val="24"/>
            <w:szCs w:val="24"/>
          </w:rPr>
          <w:fldChar w:fldCharType="end"/>
        </w:r>
        <w:r w:rsidRPr="00B20AC3">
          <w:rPr>
            <w:bCs/>
            <w:sz w:val="24"/>
            <w:szCs w:val="24"/>
          </w:rPr>
          <w:t>)</w:t>
        </w:r>
      </w:p>
    </w:sdtContent>
  </w:sdt>
  <w:p w14:paraId="17CC0281" w14:textId="77777777" w:rsidR="00B20AC3" w:rsidRDefault="00B20AC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32B5"/>
    <w:multiLevelType w:val="hybridMultilevel"/>
    <w:tmpl w:val="2DFA2C0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84"/>
    <w:rsid w:val="00055745"/>
    <w:rsid w:val="000648D5"/>
    <w:rsid w:val="00067A25"/>
    <w:rsid w:val="000925F7"/>
    <w:rsid w:val="000B7255"/>
    <w:rsid w:val="001312DC"/>
    <w:rsid w:val="00132CA1"/>
    <w:rsid w:val="001450AB"/>
    <w:rsid w:val="00156B40"/>
    <w:rsid w:val="001A4093"/>
    <w:rsid w:val="001A6694"/>
    <w:rsid w:val="001C6458"/>
    <w:rsid w:val="0020686B"/>
    <w:rsid w:val="00214BAD"/>
    <w:rsid w:val="002551BA"/>
    <w:rsid w:val="002C7C4F"/>
    <w:rsid w:val="002D5CD7"/>
    <w:rsid w:val="002D744A"/>
    <w:rsid w:val="002E3442"/>
    <w:rsid w:val="002F004E"/>
    <w:rsid w:val="003338C5"/>
    <w:rsid w:val="0034599C"/>
    <w:rsid w:val="00357B72"/>
    <w:rsid w:val="00365530"/>
    <w:rsid w:val="003662C4"/>
    <w:rsid w:val="003702BE"/>
    <w:rsid w:val="003B024F"/>
    <w:rsid w:val="003E4FD0"/>
    <w:rsid w:val="003F27EA"/>
    <w:rsid w:val="0040276A"/>
    <w:rsid w:val="00402FA5"/>
    <w:rsid w:val="00412B4E"/>
    <w:rsid w:val="00415CC9"/>
    <w:rsid w:val="00454757"/>
    <w:rsid w:val="00484398"/>
    <w:rsid w:val="004A7F6F"/>
    <w:rsid w:val="004C6B5F"/>
    <w:rsid w:val="004D653A"/>
    <w:rsid w:val="004F2EB2"/>
    <w:rsid w:val="00503DCB"/>
    <w:rsid w:val="005061E8"/>
    <w:rsid w:val="00513EF1"/>
    <w:rsid w:val="00517856"/>
    <w:rsid w:val="005507C2"/>
    <w:rsid w:val="00576517"/>
    <w:rsid w:val="00594366"/>
    <w:rsid w:val="005A1356"/>
    <w:rsid w:val="005E45ED"/>
    <w:rsid w:val="0064009E"/>
    <w:rsid w:val="00642450"/>
    <w:rsid w:val="00647280"/>
    <w:rsid w:val="006936FE"/>
    <w:rsid w:val="006C14A8"/>
    <w:rsid w:val="006D3C51"/>
    <w:rsid w:val="00765753"/>
    <w:rsid w:val="007679AC"/>
    <w:rsid w:val="00773CC2"/>
    <w:rsid w:val="00792C04"/>
    <w:rsid w:val="007A3B1F"/>
    <w:rsid w:val="007A501B"/>
    <w:rsid w:val="007C6079"/>
    <w:rsid w:val="007D662C"/>
    <w:rsid w:val="007F2F6E"/>
    <w:rsid w:val="007F553D"/>
    <w:rsid w:val="00812CAF"/>
    <w:rsid w:val="00825E8D"/>
    <w:rsid w:val="00830851"/>
    <w:rsid w:val="00832553"/>
    <w:rsid w:val="008376C6"/>
    <w:rsid w:val="00843902"/>
    <w:rsid w:val="00847A02"/>
    <w:rsid w:val="008547B4"/>
    <w:rsid w:val="00854F9A"/>
    <w:rsid w:val="0087172E"/>
    <w:rsid w:val="0089028F"/>
    <w:rsid w:val="00895C83"/>
    <w:rsid w:val="008A6706"/>
    <w:rsid w:val="008B2B22"/>
    <w:rsid w:val="008D246F"/>
    <w:rsid w:val="008D523F"/>
    <w:rsid w:val="008E2D05"/>
    <w:rsid w:val="008F2FEA"/>
    <w:rsid w:val="00933BBC"/>
    <w:rsid w:val="00943CB1"/>
    <w:rsid w:val="00945F7B"/>
    <w:rsid w:val="00965636"/>
    <w:rsid w:val="009A5325"/>
    <w:rsid w:val="009D16D7"/>
    <w:rsid w:val="009E60B6"/>
    <w:rsid w:val="009E6E17"/>
    <w:rsid w:val="00A02820"/>
    <w:rsid w:val="00A130D4"/>
    <w:rsid w:val="00A14669"/>
    <w:rsid w:val="00A33E72"/>
    <w:rsid w:val="00A3767E"/>
    <w:rsid w:val="00A71BEF"/>
    <w:rsid w:val="00A74E7A"/>
    <w:rsid w:val="00A8760B"/>
    <w:rsid w:val="00A90651"/>
    <w:rsid w:val="00AA168D"/>
    <w:rsid w:val="00AE2726"/>
    <w:rsid w:val="00AF6EAA"/>
    <w:rsid w:val="00B1538F"/>
    <w:rsid w:val="00B20AC3"/>
    <w:rsid w:val="00B31F9D"/>
    <w:rsid w:val="00B54EB1"/>
    <w:rsid w:val="00B8623F"/>
    <w:rsid w:val="00BA4D6A"/>
    <w:rsid w:val="00BA666E"/>
    <w:rsid w:val="00BA77AF"/>
    <w:rsid w:val="00BB5051"/>
    <w:rsid w:val="00BC0765"/>
    <w:rsid w:val="00BC1774"/>
    <w:rsid w:val="00C1661A"/>
    <w:rsid w:val="00C2566B"/>
    <w:rsid w:val="00C3208C"/>
    <w:rsid w:val="00C564B3"/>
    <w:rsid w:val="00C76619"/>
    <w:rsid w:val="00C87DD3"/>
    <w:rsid w:val="00CB2B44"/>
    <w:rsid w:val="00CF7F33"/>
    <w:rsid w:val="00D50531"/>
    <w:rsid w:val="00D95256"/>
    <w:rsid w:val="00D95284"/>
    <w:rsid w:val="00D95C1F"/>
    <w:rsid w:val="00DF0981"/>
    <w:rsid w:val="00E14581"/>
    <w:rsid w:val="00E240D8"/>
    <w:rsid w:val="00E2412B"/>
    <w:rsid w:val="00E91793"/>
    <w:rsid w:val="00E92848"/>
    <w:rsid w:val="00E97E30"/>
    <w:rsid w:val="00EA36B9"/>
    <w:rsid w:val="00EE0C75"/>
    <w:rsid w:val="00EF05E4"/>
    <w:rsid w:val="00EF0C99"/>
    <w:rsid w:val="00F12E2C"/>
    <w:rsid w:val="00F142CE"/>
    <w:rsid w:val="00F30B76"/>
    <w:rsid w:val="00F4767C"/>
    <w:rsid w:val="00F85B7B"/>
    <w:rsid w:val="00FB58E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C3E2C"/>
  <w15:chartTrackingRefBased/>
  <w15:docId w15:val="{D2533AAA-9D7A-4AC4-ABC3-D2ADBA9A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A7F6F"/>
    <w:pPr>
      <w:jc w:val="both"/>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95284"/>
    <w:pPr>
      <w:ind w:left="720"/>
      <w:contextualSpacing/>
    </w:pPr>
  </w:style>
  <w:style w:type="paragraph" w:styleId="Alaviitteenteksti">
    <w:name w:val="footnote text"/>
    <w:basedOn w:val="Normaali"/>
    <w:link w:val="AlaviitteentekstiChar"/>
    <w:uiPriority w:val="99"/>
    <w:semiHidden/>
    <w:unhideWhenUsed/>
    <w:rsid w:val="00132CA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32CA1"/>
    <w:rPr>
      <w:sz w:val="20"/>
      <w:szCs w:val="20"/>
    </w:rPr>
  </w:style>
  <w:style w:type="character" w:styleId="Alaviitteenviite">
    <w:name w:val="footnote reference"/>
    <w:basedOn w:val="Kappaleenoletusfontti"/>
    <w:uiPriority w:val="99"/>
    <w:semiHidden/>
    <w:unhideWhenUsed/>
    <w:rsid w:val="00132CA1"/>
    <w:rPr>
      <w:vertAlign w:val="superscript"/>
    </w:rPr>
  </w:style>
  <w:style w:type="paragraph" w:styleId="Yltunniste">
    <w:name w:val="header"/>
    <w:basedOn w:val="Normaali"/>
    <w:link w:val="YltunnisteChar"/>
    <w:uiPriority w:val="99"/>
    <w:unhideWhenUsed/>
    <w:rsid w:val="00B20AC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20AC3"/>
  </w:style>
  <w:style w:type="paragraph" w:styleId="Alatunniste">
    <w:name w:val="footer"/>
    <w:basedOn w:val="Normaali"/>
    <w:link w:val="AlatunnisteChar"/>
    <w:uiPriority w:val="99"/>
    <w:unhideWhenUsed/>
    <w:rsid w:val="00B20AC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2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A5F4-E57A-456E-84F9-2AC07871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1795</Words>
  <Characters>14541</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LUC</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Kiuru Jarmo</dc:creator>
  <cp:keywords/>
  <dc:description/>
  <cp:lastModifiedBy>Kiuru Jarmo</cp:lastModifiedBy>
  <cp:revision>114</cp:revision>
  <cp:lastPrinted>2023-12-10T14:54:00Z</cp:lastPrinted>
  <dcterms:created xsi:type="dcterms:W3CDTF">2023-12-10T05:02:00Z</dcterms:created>
  <dcterms:modified xsi:type="dcterms:W3CDTF">2023-12-12T11:31:00Z</dcterms:modified>
</cp:coreProperties>
</file>